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B9374" w14:textId="279A506E" w:rsidR="004F793F" w:rsidRPr="00934156" w:rsidRDefault="00934156" w:rsidP="00934156">
      <w:pPr>
        <w:pStyle w:val="Naslov1"/>
        <w:numPr>
          <w:ilvl w:val="0"/>
          <w:numId w:val="0"/>
        </w:numPr>
        <w:rPr>
          <w:rFonts w:asciiTheme="majorHAnsi" w:hAnsiTheme="majorHAnsi" w:cstheme="majorHAnsi"/>
          <w:szCs w:val="24"/>
          <w:lang w:val="hr-HR"/>
        </w:rPr>
      </w:pPr>
      <w:bookmarkStart w:id="0" w:name="_Hlk103602523"/>
      <w:r w:rsidRPr="00934156">
        <w:rPr>
          <w:rFonts w:asciiTheme="majorHAnsi" w:hAnsiTheme="majorHAnsi" w:cstheme="majorHAnsi"/>
          <w:szCs w:val="24"/>
          <w:lang w:val="hr-HR"/>
        </w:rPr>
        <w:t xml:space="preserve">Prilog 2.1. </w:t>
      </w:r>
      <w:r w:rsidR="004F793F" w:rsidRPr="00934156">
        <w:rPr>
          <w:rFonts w:asciiTheme="majorHAnsi" w:hAnsiTheme="majorHAnsi" w:cstheme="majorHAnsi"/>
          <w:szCs w:val="24"/>
          <w:lang w:val="hr-HR"/>
        </w:rPr>
        <w:t>INFORMACIJSKI SUSTAV UREDSKOG POSLOVANJA</w:t>
      </w:r>
      <w:r w:rsidR="001E72B9" w:rsidRPr="00934156">
        <w:rPr>
          <w:rFonts w:asciiTheme="majorHAnsi" w:hAnsiTheme="majorHAnsi" w:cstheme="majorHAnsi"/>
          <w:szCs w:val="24"/>
          <w:lang w:val="hr-HR"/>
        </w:rPr>
        <w:t xml:space="preserve"> (ISUP)</w:t>
      </w:r>
    </w:p>
    <w:p w14:paraId="76A3EC91" w14:textId="3C9498AA" w:rsidR="00054D12" w:rsidRPr="00934156" w:rsidRDefault="00054D12" w:rsidP="00054D12">
      <w:pPr>
        <w:rPr>
          <w:rFonts w:asciiTheme="majorHAnsi" w:hAnsiTheme="majorHAnsi" w:cstheme="majorHAnsi"/>
          <w:sz w:val="24"/>
          <w:szCs w:val="24"/>
        </w:rPr>
      </w:pPr>
      <w:r w:rsidRPr="00934156">
        <w:rPr>
          <w:rFonts w:asciiTheme="majorHAnsi" w:hAnsiTheme="majorHAnsi" w:cstheme="majorHAnsi"/>
          <w:sz w:val="24"/>
          <w:szCs w:val="24"/>
        </w:rPr>
        <w:t xml:space="preserve">Ponuditelj ispunjava tablicu na način da u </w:t>
      </w:r>
      <w:r w:rsidR="00BE7D6D" w:rsidRPr="00934156">
        <w:rPr>
          <w:rFonts w:asciiTheme="majorHAnsi" w:hAnsiTheme="majorHAnsi" w:cstheme="majorHAnsi"/>
          <w:sz w:val="24"/>
          <w:szCs w:val="24"/>
        </w:rPr>
        <w:t>stupcu</w:t>
      </w:r>
      <w:r w:rsidRPr="00934156">
        <w:rPr>
          <w:rFonts w:asciiTheme="majorHAnsi" w:hAnsiTheme="majorHAnsi" w:cstheme="majorHAnsi"/>
          <w:sz w:val="24"/>
          <w:szCs w:val="24"/>
        </w:rPr>
        <w:t xml:space="preserve"> DA/NE upiše da li ponuđeno rješenje posjeduje traženu funkcionalnost. Ukoliko bilo koji od navedenih zahtjeva bude bio označen sa “NE” Ponuda će se smatrati neprihvatljiva.</w:t>
      </w:r>
    </w:p>
    <w:tbl>
      <w:tblPr>
        <w:tblStyle w:val="ListTable3-Accent11"/>
        <w:tblW w:w="9639" w:type="dxa"/>
        <w:jc w:val="center"/>
        <w:tblInd w:w="0" w:type="dxa"/>
        <w:tblBorders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766"/>
        <w:gridCol w:w="7346"/>
        <w:gridCol w:w="1527"/>
      </w:tblGrid>
      <w:tr w:rsidR="00054D12" w:rsidRPr="00934156" w14:paraId="7BFC991D" w14:textId="7AE58FA6" w:rsidTr="00CD22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</w:tcBorders>
            <w:shd w:val="clear" w:color="auto" w:fill="2F5496" w:themeFill="accent1" w:themeFillShade="BF"/>
            <w:vAlign w:val="center"/>
            <w:hideMark/>
          </w:tcPr>
          <w:p w14:paraId="2774C24D" w14:textId="77777777" w:rsidR="00054D12" w:rsidRPr="00934156" w:rsidRDefault="00054D12" w:rsidP="00290F92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bookmarkStart w:id="1" w:name="_Hlk103599256"/>
            <w:bookmarkEnd w:id="0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RB</w:t>
            </w: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2F5496" w:themeFill="accent1" w:themeFillShade="BF"/>
            <w:vAlign w:val="center"/>
            <w:hideMark/>
          </w:tcPr>
          <w:p w14:paraId="454ED2DF" w14:textId="77777777" w:rsidR="00054D12" w:rsidRPr="00934156" w:rsidRDefault="00054D12" w:rsidP="00290F92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Naziv funkcionalnog zahtjeva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2F5496" w:themeFill="accent1" w:themeFillShade="BF"/>
          </w:tcPr>
          <w:p w14:paraId="53C4CC50" w14:textId="5D4E7AB0" w:rsidR="00054D12" w:rsidRPr="00934156" w:rsidRDefault="00054D12" w:rsidP="00054D1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DA/NE</w:t>
            </w:r>
          </w:p>
        </w:tc>
      </w:tr>
      <w:tr w:rsidR="00054D12" w:rsidRPr="00934156" w14:paraId="4B3E2182" w14:textId="3FDF0064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248AE127" w14:textId="77777777" w:rsidR="00054D12" w:rsidRPr="00934156" w:rsidRDefault="00054D12" w:rsidP="004F793F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  <w:hideMark/>
          </w:tcPr>
          <w:p w14:paraId="7EEC5321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b/>
                <w:sz w:val="24"/>
                <w:szCs w:val="24"/>
              </w:rPr>
              <w:t>Primitak, otvaranje i pregled pismena i pošiljki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691EC24F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054D12" w:rsidRPr="00934156" w14:paraId="2C189BD9" w14:textId="5C114390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29985045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  <w:hideMark/>
          </w:tcPr>
          <w:p w14:paraId="534C2AF3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Zaprimanje pismena zaprimljenog od drugog SEUP-a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D59D69D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0A9C24FE" w14:textId="1A8AFCB6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471F9911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  <w:hideMark/>
          </w:tcPr>
          <w:p w14:paraId="223FF4B9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Slanje potvrde pismena zaprimljenog od SEUP-a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10D8405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6A482DF7" w14:textId="5E8E8C9B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2343D833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  <w:hideMark/>
          </w:tcPr>
          <w:p w14:paraId="7CC9F1A4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Slanje obavijesti u slučaju da se pismeno zaprimljeno od drugog SEUP-a ne može pročitati iz tehničkih razloga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DB4F984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5AC7AD3C" w14:textId="42D50350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E1853A4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  <w:hideMark/>
          </w:tcPr>
          <w:p w14:paraId="364D9E89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Zaprimanje elektroničkih pošiljki dostavljenih putem elektroničke pošte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0ECDD0C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7CABBA45" w14:textId="19E8C5B1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394DAADE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  <w:hideMark/>
          </w:tcPr>
          <w:p w14:paraId="73A0D8D8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Slanje vremena i službene osobe koja je zaprimila elektroničku pošiljku, provjere tehničke ispravnosti elektroničke pošiljke i formata sadržaja elektroničke pošiljke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1F4D0DA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30AEFFC" w14:textId="77FCE6FD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315E72B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  <w:hideMark/>
          </w:tcPr>
          <w:p w14:paraId="5A52516F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Zapisivanje točnog vremena zaprimanja pošiljke na poslužitelju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C366B6A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5D4B1BDF" w14:textId="0EC3882B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5A55628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2E744E6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Prikaz pošiljki na popisu zaprimljenih pošiljki s evidencijom komunikacijskog kanala kojim je pošiljka dostavljena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E4B981C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50883B67" w14:textId="351756BE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25791E91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2967160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Automatsko upisivanje jednog ili više pismena iz pošiljke za strukturirane i aplikativno podržane vrste posla i/ili pismena koja sadrže vezani jedinstveni identifikator interoperabilnosti pismena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B679881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4252CD72" w14:textId="305272C4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55BBBDB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B428770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Pretraživanje pošiljki po različitim kriterijima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609A43D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7EE4F781" w14:textId="1AEEAC9A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DA06EB2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EC38C2B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Osiguravanje nepromjenjivosti i cjelovitosti zaprimljene pošiljke od trenutka zaprimanja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1604DC3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6FA6EE1" w14:textId="7694060E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30F7FE4F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4E3ECA6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Upisivanje primljenih pošiljki u obliku pismena u predmete unutar evidencija uredskog poslovanja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7B94D96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1F30EA8" w14:textId="0AE228C5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07C67A8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FA18187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Upisivanje primljenih pošiljki koje se ne otvaraju uz evidenciju razloga i ostalih relevantnih podataka zašto pošiljka nije otvorena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142C6AA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2E93CC5" w14:textId="19CC2AF9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04860B31" w14:textId="77777777" w:rsidR="00054D12" w:rsidRPr="00934156" w:rsidRDefault="00054D12" w:rsidP="004F793F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  <w:hideMark/>
          </w:tcPr>
          <w:p w14:paraId="25680735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b/>
                <w:sz w:val="24"/>
                <w:szCs w:val="24"/>
              </w:rPr>
              <w:t>Obrada i razvrstavanje pismena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4899434F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054D12" w:rsidRPr="00934156" w14:paraId="0B04C58A" w14:textId="3AB81806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8CD141A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  <w:hideMark/>
          </w:tcPr>
          <w:p w14:paraId="1E890EAD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Vođenje evidencije predmeta po sustavu klasifikacijskih oznaka korištenjem samo propisanih oznaka kroz jedinstveni </w:t>
            </w:r>
            <w:proofErr w:type="spellStart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šifrarnik</w:t>
            </w:r>
            <w:proofErr w:type="spellEnd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; uz vođenje zasebnih evidencija za predmete upravnog postupka i predmete neupravnog postupka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37E6E5A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03A23C63" w14:textId="645C5A2B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511AE592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FE5F2DA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Osnivanje predmeta upisom u neki od postojećih dosjea te određivanje klasifikacijske oznake te ostalih podataka koje traži evidencija u koju se predmet upisuje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5FC1DE7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09FFA5B6" w14:textId="7414118A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01F3555F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F1EC1D9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Izbor unutarnje ustrojstvene jedinice i/ili ovlaštene službene osobe kojoj se predmet upućuje na rješavanje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0F1C72E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bookmarkEnd w:id="1"/>
      <w:tr w:rsidR="00054D12" w:rsidRPr="00934156" w14:paraId="06802E0A" w14:textId="167306DB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2F84F5AF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AD207C1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Pretraživanje po različitim kriterijima, prikaz i utvrđivanje gdje se postojeći predmet nalazi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5DABC8D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5E1F71F3" w14:textId="43804184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E72EE93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A377F68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promjena na predmetu (vađenje iz rokovnika)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A5E4C0E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066BB861" w14:textId="7E988C86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776367D1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B92B663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Vezanje predmeta, odnosno spajanje klasifikacijskih oznaka koje su otvorene za isti predmet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D53EFE9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489996B5" w14:textId="5827819A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D8D0E7E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5771ECE3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podneska u novi ili postojeći predmet uz automatsku dodjelu brojčane oznake podneska (klasifikacijske oznake i rednog broja upisa pismena u predmet)  te ručni upis datuma zaprimanja podneska i po potrebi datuma nastanka podneska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EA3E77A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79B52563" w14:textId="70F44128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47377A37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6586F5D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Dodjela jedinstvenog identifikatora interoperabilnosti pismena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657495E3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4ED75252" w14:textId="44A71722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356848AB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CB88BC7" w14:textId="2B426C3D" w:rsidR="00054D12" w:rsidRPr="00934156" w:rsidRDefault="00054D12" w:rsidP="00494F70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Dodjela jedinstvene oznake pismena u obliku naljepnice s </w:t>
            </w:r>
            <w:r w:rsidR="00494F70" w:rsidRPr="00934156">
              <w:rPr>
                <w:rFonts w:asciiTheme="majorHAnsi" w:hAnsiTheme="majorHAnsi" w:cstheme="majorHAnsi"/>
                <w:sz w:val="24"/>
                <w:szCs w:val="24"/>
              </w:rPr>
              <w:t>2D/QR</w:t>
            </w: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 kodom na svaki fizički zaprimljeni podnesak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92F3BE2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388E5118" w14:textId="0419205A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357DE589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9DB9921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priloga uz podnesak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2FAC89A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36BCF529" w14:textId="79EEA6B7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46C9D1D9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7843A4A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Formiranje elektroničkog zapisa i elektroničkog dokumenta za evidentirani podnesak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37EB476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7851C84" w14:textId="3EDE07FB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0A15FC4A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87C66EC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Skeniranje pismena i priloga primljenih u fizičkom obliku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6E4FE59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66EFC05A" w14:textId="79FE982F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38A3B0F2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AC80835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Ispis potvrde o fizičkom primitku pismena na papiru, a koja sadrži naziv javnopravnog tijela, datum zaprimanja, klasifikacijsku oznaku, redni broj podneska i mjesto za potpis i/ili pečat službene osobe zadužene za poslove pisarnice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7214CF1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151EEF6" w14:textId="13919BC9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6B33A81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4D8195D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Optičko prepoznavanje teksta skeniranih pismena i priloga koje će osigurati očuvanje vjerodostojnosti izvorno skeniranog dokumenta uz mogućnost pretrage teksta kroz informacijski sustav i pretrage skeniranog sadržaja dokumenta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4122684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DD64AD2" w14:textId="575C6E25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F4915AD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1D1848A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prijenosa predmeta iz neupravnog u upravni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FFA5344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32E5AA73" w14:textId="115918AB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10125F8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41A601A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predmeta koji su razdvojeni u više različitih predmeta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2141E1B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59B00E3D" w14:textId="78D3BE4F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2FC8D1EC" w14:textId="77777777" w:rsidR="00054D12" w:rsidRPr="00934156" w:rsidRDefault="00054D12" w:rsidP="004F793F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462A23E6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b/>
                <w:sz w:val="24"/>
                <w:szCs w:val="24"/>
              </w:rPr>
              <w:t>Dostava predmeta i pismena u rad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6E38C7FE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054D12" w:rsidRPr="00934156" w14:paraId="45ABBD63" w14:textId="135D5FAD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21F1246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D0CF8A6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Dostavljanje i evidentiranje dostave predmeta i pismena iz pisarnice u nadležnu ustrojstvenu jedinicu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02C21D4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4DA17628" w14:textId="381A7B69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88D6AEF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44C4937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dana primitka fizičkih pismena u nadležnoj ustrojstvenoj jedinici i upis potvrde primitka predmeta od ovlaštene službene osobe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AFD4A3A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101DB314" w14:textId="12158E8E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463EB8B1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F40482C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Odabir unutarnje ustrojstvene jedinice i/ili ovlaštene službene osobe kojoj se predmet upućuje na rješavanje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00A9E3F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4B4CA90E" w14:textId="1265CDBA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E6BB9BD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5C17FB1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Vođenje rokovnika predmeta koji sadrži podatke o datumu početka računanja roka i datumu isteka roka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6920F31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60A271E7" w14:textId="0C5DB49A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6FE4C4F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4C264D0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jedne ili više službenih osoba koje imaju pravo rada ili uvida u podatke predmeta ili pojedinog pismena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1E63DB5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61DB8B3" w14:textId="78DA0059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2F88BF3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41DCBBC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Uvid u status predmeta i pismena, podatke o stanju rješavanja u predmetima, vremenu i službenoj osobi koja je obavila neku aktivnost, te izvedenim aktivnostima u informacijskom sustavu uredskog poslovanja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E4C4DFE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53226BA0" w14:textId="3058FD30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D4376DA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0338282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datuma i vremena i službene osobe koja je ostvarila uvid u podatke predmeta, te podatke i elektronički sadržaj pismena i priloga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0F5F433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16CA0632" w14:textId="56A63998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A87AE05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22BD652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Mogućnost automatskog obavještavanja službene osobe o promjenama u sustavu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1FC59BB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3BD6B896" w14:textId="090B28CA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F5C701F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8464BCC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Upisivanje službenih bilješki u pojedinom predmetu ili pismenu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C28764C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47BCD924" w14:textId="074EFBD5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3774267D" w14:textId="77777777" w:rsidR="00054D12" w:rsidRPr="00934156" w:rsidRDefault="00054D12" w:rsidP="004F793F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7DF554A2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b/>
                <w:sz w:val="24"/>
                <w:szCs w:val="24"/>
              </w:rPr>
              <w:t>Administrativno – tehnička obrada akata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7C1FD305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054D12" w:rsidRPr="00934156" w14:paraId="1A5B72E3" w14:textId="6BEF734E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32E31185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C23F42E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akata u predmete od strane službene osobe kojoj je predmet upućen na rješavanje uz automatsku dodjelu rednog broja upisa pismena u predmet i poslovnog broja akta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C27675A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64279C8E" w14:textId="6EB4D6D0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415330B4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F8032BF" w14:textId="48C32D03" w:rsidR="00054D12" w:rsidRPr="00934156" w:rsidRDefault="00054D12" w:rsidP="00494F70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Dodjela jedinstvene oznake pismena u obliku </w:t>
            </w:r>
            <w:r w:rsidR="00494F70" w:rsidRPr="00934156">
              <w:rPr>
                <w:rFonts w:asciiTheme="majorHAnsi" w:hAnsiTheme="majorHAnsi" w:cstheme="majorHAnsi"/>
                <w:sz w:val="24"/>
                <w:szCs w:val="24"/>
              </w:rPr>
              <w:t>2D/QR</w:t>
            </w: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 koda na svaki akt koji nastaje u tijelu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AA1D1B7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5DBED9AF" w14:textId="1CF71F8A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5EADE540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5040B725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Dodjela jedinstvenog identifikatora interoperabilnosti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F81C49A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633C4B3C" w14:textId="40602F1F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DB20735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1CB6707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Stvaranje elektroničkog zapisa za evidentirani akt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4FC96AC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0343B1E4" w14:textId="292D193B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vAlign w:val="center"/>
          </w:tcPr>
          <w:p w14:paraId="1B1F38E1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7D5E1CA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priloga uz akt</w:t>
            </w:r>
          </w:p>
        </w:tc>
        <w:tc>
          <w:tcPr>
            <w:tcW w:w="152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22DB09E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521B2527" w14:textId="6DDD8279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70C3172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9D1D669" w14:textId="2425A465" w:rsidR="00054D12" w:rsidRPr="00934156" w:rsidRDefault="00054D12" w:rsidP="00494F70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Kreiranje elektroničkog sadržaja akata prema unaprijed pripremljenim obrascima (predlošcima) sa svim propisanim sastavnim dijelovima akta uz ispis jedinstvene oznake pismena u obliku </w:t>
            </w:r>
            <w:r w:rsidR="00494F70" w:rsidRPr="00934156">
              <w:rPr>
                <w:rFonts w:asciiTheme="majorHAnsi" w:hAnsiTheme="majorHAnsi" w:cstheme="majorHAnsi"/>
                <w:sz w:val="24"/>
                <w:szCs w:val="24"/>
              </w:rPr>
              <w:t>2D/QR</w:t>
            </w: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 koda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5E35D6E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45B6F0CB" w14:textId="5E84405E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66D2D0B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55660411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Evidencija verzija elektroničkog sadržaja akata, priloga i internih podloga akata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2A63636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58FDDB51" w14:textId="0D7A63DA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64075D0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1F46CC7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Mogućnost dodavanja elektroničkog pečata, potpisa i zapisa na akt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B555872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889C198" w14:textId="042ED460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DD3A824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5BE62E44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Upravljanje koracima ovjeravanja i potpisivanja, provjeravanje ispravnosti i valjanosti elektroničkog potpisa, evidentiranje identiteta potpisnika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3961AE1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407F928" w14:textId="0091DF77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47D4A45B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3B2237B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Mogućnost potvrđivanja ispravnosti pojedinačnog akta od strane svih službenih osoba koje su sudjelovale u njegovoj izradi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73694C5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151147FC" w14:textId="03F640C8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0EE3458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D5AF261" w14:textId="34E7974D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Mogućnost informiranja stranke o statusu predmeta putem digitalnih komunikacijskim kanala (npr. e-mail, K</w:t>
            </w:r>
            <w:r w:rsidR="00494F70" w:rsidRPr="00934156">
              <w:rPr>
                <w:rFonts w:asciiTheme="majorHAnsi" w:hAnsiTheme="majorHAnsi" w:cstheme="majorHAnsi"/>
                <w:sz w:val="24"/>
                <w:szCs w:val="24"/>
              </w:rPr>
              <w:t>orisnički pretinac</w:t>
            </w: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, SMS, A2A, </w:t>
            </w:r>
            <w:proofErr w:type="spellStart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omnichannel</w:t>
            </w:r>
            <w:proofErr w:type="spellEnd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 (</w:t>
            </w:r>
            <w:proofErr w:type="spellStart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whatsapp</w:t>
            </w:r>
            <w:proofErr w:type="spellEnd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, </w:t>
            </w:r>
            <w:proofErr w:type="spellStart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viber</w:t>
            </w:r>
            <w:proofErr w:type="spellEnd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..))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91FF760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5AF20F34" w14:textId="7A61D29F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530352BB" w14:textId="77777777" w:rsidR="00054D12" w:rsidRPr="00934156" w:rsidRDefault="00054D12" w:rsidP="004F793F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4189B503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b/>
                <w:sz w:val="24"/>
                <w:szCs w:val="24"/>
              </w:rPr>
              <w:t>Otprema akta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15DA192C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054D12" w:rsidRPr="00934156" w14:paraId="1304C4B3" w14:textId="6B0466C0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33E12F0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F693AE2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otpreme akta u drugi SEUP i drugim digitalnim kanalima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2E6D5AE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49CE871D" w14:textId="0CA0267E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38FABD47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63C13C1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Evidencija točnog vremena otpreme akta u drugi SEUP i drugim digitalnim kanalima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6F15EAD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39E705F8" w14:textId="24CA07D0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3223FA0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3EF99AB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potvrde primitka od strane drugog SEUP-a i drugim digitalnim kanalima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59A7EDE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4C5D1E26" w14:textId="4301EF5A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EDCD48E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8D34725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Pregled popisa pismena otpremljenih u drugi SEUP i drugim digitalnim kanalima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C482E55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2EEB9BF0" w14:textId="3826362A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2B5A6B20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6CC83DD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Evidentiranje otpreme fizičke pošte putem poštanske službe ili dostavljača (osobne dostave) na propisanim obrascima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CF8C772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73F199E5" w14:textId="5F082040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FCA1A2F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75B484E" w14:textId="32A3B4F0" w:rsidR="00054D12" w:rsidRPr="00934156" w:rsidRDefault="00E4164A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Ispis omotnica/povratnica </w:t>
            </w:r>
            <w:r w:rsidR="00054D12" w:rsidRPr="00934156">
              <w:rPr>
                <w:rFonts w:asciiTheme="majorHAnsi" w:hAnsiTheme="majorHAnsi" w:cstheme="majorHAnsi"/>
                <w:sz w:val="24"/>
                <w:szCs w:val="24"/>
              </w:rPr>
              <w:t>s odgovarajućim podacima (primatelj, adresa, sadržaj pošiljke</w:t>
            </w:r>
            <w:r w:rsidR="002D630B" w:rsidRPr="00934156">
              <w:rPr>
                <w:rFonts w:asciiTheme="majorHAnsi" w:hAnsiTheme="majorHAnsi" w:cstheme="majorHAnsi"/>
                <w:sz w:val="24"/>
                <w:szCs w:val="24"/>
              </w:rPr>
              <w:t>, KLASA, URBROJ, oznake poreznih ili upravnih postupaka</w:t>
            </w:r>
            <w:r w:rsidR="00054D12" w:rsidRPr="00934156">
              <w:rPr>
                <w:rFonts w:asciiTheme="majorHAnsi" w:hAnsiTheme="majorHAnsi" w:cstheme="majorHAnsi"/>
                <w:sz w:val="24"/>
                <w:szCs w:val="24"/>
              </w:rPr>
              <w:t>)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5CA2E29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37A01C86" w14:textId="4859BED9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6A9E3ED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E99A6C9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Vođenje evidencije za pružatelja usluge otpreme pošte te mogućnost ispisa odgovarajuće dostavne liste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5FB7083" w14:textId="77777777" w:rsidR="00054D12" w:rsidRPr="00934156" w:rsidRDefault="00054D12" w:rsidP="00290F9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54D12" w:rsidRPr="00934156" w14:paraId="13917B56" w14:textId="0A1817BA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147320AA" w14:textId="77777777" w:rsidR="00054D12" w:rsidRPr="00934156" w:rsidRDefault="00054D12" w:rsidP="004F793F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FB8E763" w14:textId="69A9D20F" w:rsidR="00054D12" w:rsidRPr="00934156" w:rsidRDefault="00CD22FC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Priprema podataka o </w:t>
            </w:r>
            <w:proofErr w:type="spellStart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otpravcima</w:t>
            </w:r>
            <w:proofErr w:type="spellEnd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 xml:space="preserve"> za prijenos u sustav pružatelja usluge otpreme pošte (</w:t>
            </w:r>
            <w:proofErr w:type="spellStart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ePK</w:t>
            </w:r>
            <w:proofErr w:type="spellEnd"/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)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952EEA5" w14:textId="77777777" w:rsidR="00054D12" w:rsidRPr="00934156" w:rsidRDefault="00054D12" w:rsidP="00290F92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D22FC" w:rsidRPr="00934156" w14:paraId="6DB28560" w14:textId="77777777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00A5757" w14:textId="77777777" w:rsidR="00CD22FC" w:rsidRPr="00934156" w:rsidRDefault="00CD22FC" w:rsidP="00CD22FC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37C579A6" w14:textId="7BF138B0" w:rsidR="00CD22FC" w:rsidRPr="00934156" w:rsidRDefault="00CD22FC" w:rsidP="00CD22F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Pretraživanje popisa otpremljenih pošiljki prema različitim kriterijima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2DD8B55D" w14:textId="77777777" w:rsidR="00CD22FC" w:rsidRPr="00934156" w:rsidRDefault="00CD22FC" w:rsidP="00CD22F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D22FC" w:rsidRPr="00934156" w14:paraId="4F8C9C76" w14:textId="5D9A12FF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4F3558D3" w14:textId="77777777" w:rsidR="00CD22FC" w:rsidRPr="00934156" w:rsidRDefault="00CD22FC" w:rsidP="00CD22FC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  <w:vAlign w:val="center"/>
          </w:tcPr>
          <w:p w14:paraId="4C9D7489" w14:textId="77777777" w:rsidR="00CD22FC" w:rsidRPr="00934156" w:rsidRDefault="00CD22FC" w:rsidP="00CD22F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b/>
                <w:sz w:val="24"/>
                <w:szCs w:val="24"/>
              </w:rPr>
              <w:t>Priprema predmeta za pismohranu i arhiv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B4C6E7" w:themeFill="accent1" w:themeFillTint="66"/>
          </w:tcPr>
          <w:p w14:paraId="7AD79F6B" w14:textId="77777777" w:rsidR="00CD22FC" w:rsidRPr="00934156" w:rsidRDefault="00CD22FC" w:rsidP="00CD22F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CD22FC" w:rsidRPr="00934156" w14:paraId="09CD457F" w14:textId="3D0BC375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05B3BE6" w14:textId="77777777" w:rsidR="00CD22FC" w:rsidRPr="00934156" w:rsidRDefault="00CD22FC" w:rsidP="00CD22FC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715C903" w14:textId="77777777" w:rsidR="00CD22FC" w:rsidRPr="00934156" w:rsidRDefault="00CD22FC" w:rsidP="00CD22F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Automatska evidencija datuma predaje predmeta u pismohranu, oznake „a/a“ i informacija važnih za osiguranje nepromjenjivosti i cjelovitosti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7563573" w14:textId="77777777" w:rsidR="00CD22FC" w:rsidRPr="00934156" w:rsidRDefault="00CD22FC" w:rsidP="00CD22F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D22FC" w:rsidRPr="00934156" w14:paraId="7ADFC396" w14:textId="114D3D5E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22EFBE9A" w14:textId="77777777" w:rsidR="00CD22FC" w:rsidRPr="00934156" w:rsidRDefault="00CD22FC" w:rsidP="00CD22FC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26FECE4" w14:textId="77777777" w:rsidR="00CD22FC" w:rsidRPr="00934156" w:rsidRDefault="00CD22FC" w:rsidP="00CD22F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Formiranje popisa predmeta i mogućnost ispisivanja popisa za dostavu u pismohranu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B3808A7" w14:textId="77777777" w:rsidR="00CD22FC" w:rsidRPr="00934156" w:rsidRDefault="00CD22FC" w:rsidP="00CD22F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D22FC" w:rsidRPr="00934156" w14:paraId="5CA5AECB" w14:textId="0FB0CFC7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55F4CBF" w14:textId="77777777" w:rsidR="00CD22FC" w:rsidRPr="00934156" w:rsidRDefault="00CD22FC" w:rsidP="00CD22FC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41033F2" w14:textId="77777777" w:rsidR="00CD22FC" w:rsidRPr="00934156" w:rsidRDefault="00CD22FC" w:rsidP="00CD22F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Mogućnost ispisa kartice predmeta sa popisom pismena i datumom nastanka ili primitka pismena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D1FC85B" w14:textId="77777777" w:rsidR="00CD22FC" w:rsidRPr="00934156" w:rsidRDefault="00CD22FC" w:rsidP="00CD22F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D22FC" w:rsidRPr="00934156" w14:paraId="1F25368B" w14:textId="17561457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5B2F8074" w14:textId="77777777" w:rsidR="00CD22FC" w:rsidRPr="00934156" w:rsidRDefault="00CD22FC" w:rsidP="00CD22FC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85FD2C2" w14:textId="77777777" w:rsidR="00CD22FC" w:rsidRPr="00934156" w:rsidRDefault="00CD22FC" w:rsidP="00CD22F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Dostava podataka o predmetu pismohrani za pohranu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C5719CE" w14:textId="77777777" w:rsidR="00CD22FC" w:rsidRPr="00934156" w:rsidRDefault="00CD22FC" w:rsidP="00CD22F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D22FC" w:rsidRPr="00934156" w14:paraId="1EFE83CB" w14:textId="1485E9A0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71AA32B5" w14:textId="77777777" w:rsidR="00CD22FC" w:rsidRPr="00934156" w:rsidRDefault="00CD22FC" w:rsidP="00CD22FC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9683D25" w14:textId="77777777" w:rsidR="00CD22FC" w:rsidRPr="00934156" w:rsidRDefault="00CD22FC" w:rsidP="00CD22F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Zaprimanje podataka o vraćanju predmeta u rad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0606747" w14:textId="77777777" w:rsidR="00CD22FC" w:rsidRPr="00934156" w:rsidRDefault="00CD22FC" w:rsidP="00CD22F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D22FC" w:rsidRPr="00934156" w14:paraId="27EA669F" w14:textId="3D670BEC" w:rsidTr="00CD2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2512C3F0" w14:textId="77777777" w:rsidR="00CD22FC" w:rsidRPr="00934156" w:rsidRDefault="00CD22FC" w:rsidP="00CD22FC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5BF382B6" w14:textId="77777777" w:rsidR="00CD22FC" w:rsidRPr="00934156" w:rsidRDefault="00CD22FC" w:rsidP="00CD22F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Zaprimanje podataka o izlučivanja gradiva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54143C3" w14:textId="77777777" w:rsidR="00CD22FC" w:rsidRPr="00934156" w:rsidRDefault="00CD22FC" w:rsidP="00CD22FC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D22FC" w:rsidRPr="00934156" w14:paraId="025857A8" w14:textId="23D16051" w:rsidTr="00CD22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" w:type="dxa"/>
            <w:tcBorders>
              <w:left w:val="single" w:sz="4" w:space="0" w:color="4472C4" w:themeColor="accent1"/>
            </w:tcBorders>
            <w:vAlign w:val="center"/>
          </w:tcPr>
          <w:p w14:paraId="666FA7D1" w14:textId="77777777" w:rsidR="00CD22FC" w:rsidRPr="00934156" w:rsidRDefault="00CD22FC" w:rsidP="00CD22FC">
            <w:pPr>
              <w:pStyle w:val="Odlomakpopisa"/>
              <w:numPr>
                <w:ilvl w:val="1"/>
                <w:numId w:val="34"/>
              </w:numPr>
              <w:spacing w:after="0" w:line="240" w:lineRule="auto"/>
              <w:ind w:left="284" w:hanging="284"/>
              <w:rPr>
                <w:rFonts w:asciiTheme="majorHAnsi" w:hAnsiTheme="majorHAnsi" w:cstheme="majorHAnsi"/>
                <w:b w:val="0"/>
                <w:sz w:val="24"/>
                <w:szCs w:val="24"/>
                <w:lang w:val="hr-HR"/>
              </w:rPr>
            </w:pPr>
          </w:p>
        </w:tc>
        <w:tc>
          <w:tcPr>
            <w:tcW w:w="7346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485F6C2" w14:textId="77777777" w:rsidR="00CD22FC" w:rsidRPr="00934156" w:rsidRDefault="00CD22FC" w:rsidP="00CD22FC">
            <w:pPr>
              <w:keepNext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  <w:r w:rsidRPr="00934156">
              <w:rPr>
                <w:rFonts w:asciiTheme="majorHAnsi" w:hAnsiTheme="majorHAnsi" w:cstheme="majorHAnsi"/>
                <w:sz w:val="24"/>
                <w:szCs w:val="24"/>
              </w:rPr>
              <w:t>Zaprimanje podataka o predaji gradiva koje se čuva trajno nadležnom arhivu</w:t>
            </w:r>
          </w:p>
        </w:tc>
        <w:tc>
          <w:tcPr>
            <w:tcW w:w="1527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268BA0D" w14:textId="77777777" w:rsidR="00CD22FC" w:rsidRPr="00934156" w:rsidRDefault="00CD22FC" w:rsidP="00CD22FC">
            <w:pPr>
              <w:keepNext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45B61D1F" w14:textId="7688119D" w:rsidR="00160375" w:rsidRPr="002E34C3" w:rsidRDefault="00160375" w:rsidP="00D429C3">
      <w:pPr>
        <w:rPr>
          <w:rFonts w:ascii="Arial" w:hAnsi="Arial" w:cs="Arial"/>
          <w:b/>
          <w:bCs/>
          <w:sz w:val="22"/>
        </w:rPr>
      </w:pPr>
    </w:p>
    <w:sectPr w:rsidR="00160375" w:rsidRPr="002E34C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EEB9F" w14:textId="77777777" w:rsidR="003F6073" w:rsidRDefault="003F6073" w:rsidP="00B6413E">
      <w:pPr>
        <w:spacing w:after="0" w:line="240" w:lineRule="auto"/>
      </w:pPr>
      <w:r>
        <w:separator/>
      </w:r>
    </w:p>
  </w:endnote>
  <w:endnote w:type="continuationSeparator" w:id="0">
    <w:p w14:paraId="79805860" w14:textId="77777777" w:rsidR="003F6073" w:rsidRDefault="003F6073" w:rsidP="00B6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5615054"/>
      <w:docPartObj>
        <w:docPartGallery w:val="Page Numbers (Bottom of Page)"/>
        <w:docPartUnique/>
      </w:docPartObj>
    </w:sdtPr>
    <w:sdtContent>
      <w:p w14:paraId="47D64B5B" w14:textId="7C544C4A" w:rsidR="00934156" w:rsidRDefault="00934156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885874" w14:textId="77777777" w:rsidR="00934156" w:rsidRDefault="0093415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74419" w14:textId="77777777" w:rsidR="003F6073" w:rsidRDefault="003F6073" w:rsidP="00B6413E">
      <w:pPr>
        <w:spacing w:after="0" w:line="240" w:lineRule="auto"/>
      </w:pPr>
      <w:r>
        <w:separator/>
      </w:r>
    </w:p>
  </w:footnote>
  <w:footnote w:type="continuationSeparator" w:id="0">
    <w:p w14:paraId="514A4194" w14:textId="77777777" w:rsidR="003F6073" w:rsidRDefault="003F6073" w:rsidP="00B64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CE2A17A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22EA0"/>
    <w:multiLevelType w:val="hybridMultilevel"/>
    <w:tmpl w:val="D8723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D75C0"/>
    <w:multiLevelType w:val="multilevel"/>
    <w:tmpl w:val="3D58E0AC"/>
    <w:lvl w:ilvl="0">
      <w:start w:val="1"/>
      <w:numFmt w:val="decimal"/>
      <w:pStyle w:val="Naslov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5966D14"/>
    <w:multiLevelType w:val="hybridMultilevel"/>
    <w:tmpl w:val="BFCEE2B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206732"/>
    <w:multiLevelType w:val="hybridMultilevel"/>
    <w:tmpl w:val="1A58F054"/>
    <w:lvl w:ilvl="0" w:tplc="2AB4BE0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F7527"/>
    <w:multiLevelType w:val="hybridMultilevel"/>
    <w:tmpl w:val="4F0E24AE"/>
    <w:lvl w:ilvl="0" w:tplc="31D4EB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C4681"/>
    <w:multiLevelType w:val="hybridMultilevel"/>
    <w:tmpl w:val="4A2031C6"/>
    <w:lvl w:ilvl="0" w:tplc="5456F73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B7168"/>
    <w:multiLevelType w:val="hybridMultilevel"/>
    <w:tmpl w:val="094E6B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D61FE"/>
    <w:multiLevelType w:val="hybridMultilevel"/>
    <w:tmpl w:val="391677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0B2694"/>
    <w:multiLevelType w:val="multilevel"/>
    <w:tmpl w:val="CB622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78D50CC"/>
    <w:multiLevelType w:val="multilevel"/>
    <w:tmpl w:val="66A06CF6"/>
    <w:lvl w:ilvl="0">
      <w:start w:val="1"/>
      <w:numFmt w:val="decimal"/>
      <w:pStyle w:val="Naslov11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Naslov21"/>
      <w:suff w:val="space"/>
      <w:lvlText w:val="%1.%2"/>
      <w:lvlJc w:val="left"/>
      <w:pPr>
        <w:ind w:left="288" w:hanging="288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360" w:hanging="288"/>
      </w:pPr>
      <w:rPr>
        <w:rFonts w:ascii="Calibri" w:hAnsi="Calibri" w:hint="default"/>
        <w:b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576"/>
        </w:tabs>
        <w:ind w:left="432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648"/>
        </w:tabs>
        <w:ind w:left="5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576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2"/>
        </w:tabs>
        <w:ind w:left="648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64"/>
        </w:tabs>
        <w:ind w:left="720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36"/>
        </w:tabs>
        <w:ind w:left="792" w:hanging="288"/>
      </w:pPr>
      <w:rPr>
        <w:rFonts w:hint="default"/>
      </w:rPr>
    </w:lvl>
  </w:abstractNum>
  <w:abstractNum w:abstractNumId="11" w15:restartNumberingAfterBreak="0">
    <w:nsid w:val="6F55683F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6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19583369">
    <w:abstractNumId w:val="5"/>
  </w:num>
  <w:num w:numId="2" w16cid:durableId="96104086">
    <w:abstractNumId w:val="5"/>
  </w:num>
  <w:num w:numId="3" w16cid:durableId="1927032597">
    <w:abstractNumId w:val="10"/>
  </w:num>
  <w:num w:numId="4" w16cid:durableId="490873643">
    <w:abstractNumId w:val="10"/>
  </w:num>
  <w:num w:numId="5" w16cid:durableId="1060980682">
    <w:abstractNumId w:val="10"/>
  </w:num>
  <w:num w:numId="6" w16cid:durableId="1009328331">
    <w:abstractNumId w:val="10"/>
  </w:num>
  <w:num w:numId="7" w16cid:durableId="780958502">
    <w:abstractNumId w:val="10"/>
  </w:num>
  <w:num w:numId="8" w16cid:durableId="1139421350">
    <w:abstractNumId w:val="9"/>
  </w:num>
  <w:num w:numId="9" w16cid:durableId="1920940850">
    <w:abstractNumId w:val="10"/>
  </w:num>
  <w:num w:numId="10" w16cid:durableId="1532959229">
    <w:abstractNumId w:val="10"/>
  </w:num>
  <w:num w:numId="11" w16cid:durableId="1658194166">
    <w:abstractNumId w:val="9"/>
  </w:num>
  <w:num w:numId="12" w16cid:durableId="2008241533">
    <w:abstractNumId w:val="0"/>
  </w:num>
  <w:num w:numId="13" w16cid:durableId="2020231725">
    <w:abstractNumId w:val="0"/>
  </w:num>
  <w:num w:numId="14" w16cid:durableId="642345902">
    <w:abstractNumId w:val="0"/>
  </w:num>
  <w:num w:numId="15" w16cid:durableId="1318651670">
    <w:abstractNumId w:val="0"/>
  </w:num>
  <w:num w:numId="16" w16cid:durableId="13507630">
    <w:abstractNumId w:val="10"/>
  </w:num>
  <w:num w:numId="17" w16cid:durableId="1770421121">
    <w:abstractNumId w:val="10"/>
  </w:num>
  <w:num w:numId="18" w16cid:durableId="1573350050">
    <w:abstractNumId w:val="9"/>
  </w:num>
  <w:num w:numId="19" w16cid:durableId="1677345605">
    <w:abstractNumId w:val="2"/>
  </w:num>
  <w:num w:numId="20" w16cid:durableId="494876697">
    <w:abstractNumId w:val="2"/>
  </w:num>
  <w:num w:numId="21" w16cid:durableId="1423523639">
    <w:abstractNumId w:val="2"/>
  </w:num>
  <w:num w:numId="22" w16cid:durableId="2142990078">
    <w:abstractNumId w:val="2"/>
  </w:num>
  <w:num w:numId="23" w16cid:durableId="194586960">
    <w:abstractNumId w:val="2"/>
  </w:num>
  <w:num w:numId="24" w16cid:durableId="1347554582">
    <w:abstractNumId w:val="2"/>
  </w:num>
  <w:num w:numId="25" w16cid:durableId="851339732">
    <w:abstractNumId w:val="2"/>
  </w:num>
  <w:num w:numId="26" w16cid:durableId="1569028951">
    <w:abstractNumId w:val="2"/>
  </w:num>
  <w:num w:numId="27" w16cid:durableId="913008633">
    <w:abstractNumId w:val="2"/>
  </w:num>
  <w:num w:numId="28" w16cid:durableId="1939829524">
    <w:abstractNumId w:val="0"/>
  </w:num>
  <w:num w:numId="29" w16cid:durableId="1026249673">
    <w:abstractNumId w:val="2"/>
  </w:num>
  <w:num w:numId="30" w16cid:durableId="850797988">
    <w:abstractNumId w:val="0"/>
  </w:num>
  <w:num w:numId="31" w16cid:durableId="415711458">
    <w:abstractNumId w:val="10"/>
  </w:num>
  <w:num w:numId="32" w16cid:durableId="2143378656">
    <w:abstractNumId w:val="10"/>
  </w:num>
  <w:num w:numId="33" w16cid:durableId="1980770423">
    <w:abstractNumId w:val="9"/>
  </w:num>
  <w:num w:numId="34" w16cid:durableId="18237682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402902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98078065">
    <w:abstractNumId w:val="8"/>
  </w:num>
  <w:num w:numId="37" w16cid:durableId="460732095">
    <w:abstractNumId w:val="1"/>
  </w:num>
  <w:num w:numId="38" w16cid:durableId="221139682">
    <w:abstractNumId w:val="4"/>
  </w:num>
  <w:num w:numId="39" w16cid:durableId="1946765642">
    <w:abstractNumId w:val="7"/>
  </w:num>
  <w:num w:numId="40" w16cid:durableId="1603565304">
    <w:abstractNumId w:val="3"/>
  </w:num>
  <w:num w:numId="41" w16cid:durableId="5050208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93F"/>
    <w:rsid w:val="00002B42"/>
    <w:rsid w:val="00054D12"/>
    <w:rsid w:val="000C6593"/>
    <w:rsid w:val="00160375"/>
    <w:rsid w:val="001E72B9"/>
    <w:rsid w:val="00200124"/>
    <w:rsid w:val="00204676"/>
    <w:rsid w:val="00290F92"/>
    <w:rsid w:val="00291255"/>
    <w:rsid w:val="002C090F"/>
    <w:rsid w:val="002D630B"/>
    <w:rsid w:val="002E34C3"/>
    <w:rsid w:val="00346172"/>
    <w:rsid w:val="003B15A7"/>
    <w:rsid w:val="003B27D1"/>
    <w:rsid w:val="003C3C5A"/>
    <w:rsid w:val="003E6AE4"/>
    <w:rsid w:val="003F6073"/>
    <w:rsid w:val="00411368"/>
    <w:rsid w:val="00421E48"/>
    <w:rsid w:val="00440578"/>
    <w:rsid w:val="0045413C"/>
    <w:rsid w:val="004555C8"/>
    <w:rsid w:val="0047012A"/>
    <w:rsid w:val="00494F70"/>
    <w:rsid w:val="004F793F"/>
    <w:rsid w:val="0051438A"/>
    <w:rsid w:val="00526280"/>
    <w:rsid w:val="005A65D9"/>
    <w:rsid w:val="005F534A"/>
    <w:rsid w:val="006041A8"/>
    <w:rsid w:val="006537BD"/>
    <w:rsid w:val="006C01C4"/>
    <w:rsid w:val="006C6317"/>
    <w:rsid w:val="006D2167"/>
    <w:rsid w:val="007075C8"/>
    <w:rsid w:val="007523B6"/>
    <w:rsid w:val="007E357D"/>
    <w:rsid w:val="00830133"/>
    <w:rsid w:val="00830347"/>
    <w:rsid w:val="00890AFF"/>
    <w:rsid w:val="00892EEC"/>
    <w:rsid w:val="009257DB"/>
    <w:rsid w:val="00934156"/>
    <w:rsid w:val="009557CD"/>
    <w:rsid w:val="009568EF"/>
    <w:rsid w:val="009766CA"/>
    <w:rsid w:val="00991BD1"/>
    <w:rsid w:val="009A78A3"/>
    <w:rsid w:val="009C286A"/>
    <w:rsid w:val="00AF63CF"/>
    <w:rsid w:val="00B53AE3"/>
    <w:rsid w:val="00B6413E"/>
    <w:rsid w:val="00BA1CB2"/>
    <w:rsid w:val="00BE7D6D"/>
    <w:rsid w:val="00C2396B"/>
    <w:rsid w:val="00C62510"/>
    <w:rsid w:val="00CD22FC"/>
    <w:rsid w:val="00D429C3"/>
    <w:rsid w:val="00D67245"/>
    <w:rsid w:val="00E23F76"/>
    <w:rsid w:val="00E4164A"/>
    <w:rsid w:val="00E6221B"/>
    <w:rsid w:val="00E742F6"/>
    <w:rsid w:val="00EC537F"/>
    <w:rsid w:val="00ED44F1"/>
    <w:rsid w:val="00F06E90"/>
    <w:rsid w:val="00F339B5"/>
    <w:rsid w:val="00F81264"/>
    <w:rsid w:val="00FF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6042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C090F"/>
    <w:pPr>
      <w:spacing w:after="200" w:line="276" w:lineRule="auto"/>
      <w:jc w:val="both"/>
    </w:pPr>
    <w:rPr>
      <w:rFonts w:ascii="Tahoma" w:hAnsi="Tahoma"/>
      <w:szCs w:val="22"/>
      <w:lang w:val="hr-HR" w:eastAsia="en-US"/>
    </w:rPr>
  </w:style>
  <w:style w:type="paragraph" w:styleId="Naslov1">
    <w:name w:val="heading 1"/>
    <w:basedOn w:val="Normal"/>
    <w:next w:val="Normal"/>
    <w:link w:val="Naslov1Char1"/>
    <w:uiPriority w:val="1"/>
    <w:qFormat/>
    <w:rsid w:val="00ED44F1"/>
    <w:pPr>
      <w:keepNext/>
      <w:numPr>
        <w:numId w:val="29"/>
      </w:numPr>
      <w:spacing w:before="240" w:after="240" w:line="240" w:lineRule="auto"/>
      <w:outlineLvl w:val="0"/>
    </w:pPr>
    <w:rPr>
      <w:rFonts w:cs="Arial"/>
      <w:b/>
      <w:bCs/>
      <w:sz w:val="24"/>
      <w:lang w:val="en-GB"/>
    </w:rPr>
  </w:style>
  <w:style w:type="paragraph" w:styleId="Naslov2">
    <w:name w:val="heading 2"/>
    <w:basedOn w:val="Normal"/>
    <w:next w:val="Normal"/>
    <w:link w:val="Naslov2Char1"/>
    <w:uiPriority w:val="9"/>
    <w:qFormat/>
    <w:rsid w:val="00ED44F1"/>
    <w:pPr>
      <w:keepNext/>
      <w:numPr>
        <w:ilvl w:val="1"/>
        <w:numId w:val="29"/>
      </w:numPr>
      <w:spacing w:before="360" w:after="180"/>
      <w:outlineLvl w:val="1"/>
    </w:pPr>
    <w:rPr>
      <w:rFonts w:eastAsia="SimSun" w:cstheme="majorBidi"/>
      <w:b/>
      <w:bCs/>
      <w:iCs/>
      <w:szCs w:val="28"/>
    </w:rPr>
  </w:style>
  <w:style w:type="paragraph" w:styleId="Naslov3">
    <w:name w:val="heading 3"/>
    <w:basedOn w:val="Normal"/>
    <w:next w:val="Normal"/>
    <w:link w:val="Naslov3Char1"/>
    <w:uiPriority w:val="9"/>
    <w:qFormat/>
    <w:rsid w:val="00ED44F1"/>
    <w:pPr>
      <w:keepNext/>
      <w:numPr>
        <w:ilvl w:val="2"/>
        <w:numId w:val="29"/>
      </w:numPr>
      <w:spacing w:before="360" w:after="180"/>
      <w:outlineLvl w:val="2"/>
    </w:pPr>
    <w:rPr>
      <w:rFonts w:eastAsia="SimSun"/>
      <w:b/>
      <w:bCs/>
      <w:szCs w:val="26"/>
    </w:rPr>
  </w:style>
  <w:style w:type="paragraph" w:styleId="Naslov4">
    <w:name w:val="heading 4"/>
    <w:basedOn w:val="Normal"/>
    <w:next w:val="Normal"/>
    <w:link w:val="Naslov4Char"/>
    <w:uiPriority w:val="9"/>
    <w:qFormat/>
    <w:rsid w:val="00ED44F1"/>
    <w:pPr>
      <w:keepNext/>
      <w:numPr>
        <w:ilvl w:val="3"/>
        <w:numId w:val="29"/>
      </w:numPr>
      <w:spacing w:before="240" w:after="60"/>
      <w:outlineLvl w:val="3"/>
    </w:pPr>
    <w:rPr>
      <w:rFonts w:eastAsia="SimSun"/>
      <w:b/>
      <w:bCs/>
      <w:szCs w:val="28"/>
    </w:rPr>
  </w:style>
  <w:style w:type="paragraph" w:styleId="Naslov5">
    <w:name w:val="heading 5"/>
    <w:basedOn w:val="Normal"/>
    <w:next w:val="Normal"/>
    <w:link w:val="Naslov5Char"/>
    <w:uiPriority w:val="9"/>
    <w:qFormat/>
    <w:rsid w:val="00ED44F1"/>
    <w:pPr>
      <w:numPr>
        <w:ilvl w:val="4"/>
        <w:numId w:val="29"/>
      </w:num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uiPriority w:val="9"/>
    <w:qFormat/>
    <w:rsid w:val="00ED44F1"/>
    <w:pPr>
      <w:numPr>
        <w:ilvl w:val="5"/>
        <w:numId w:val="29"/>
      </w:numPr>
      <w:spacing w:before="240" w:after="60"/>
      <w:outlineLvl w:val="5"/>
    </w:pPr>
    <w:rPr>
      <w:rFonts w:ascii="Calibri" w:eastAsia="SimSun" w:hAnsi="Calibri"/>
      <w:b/>
      <w:bCs/>
      <w:sz w:val="22"/>
    </w:rPr>
  </w:style>
  <w:style w:type="paragraph" w:styleId="Naslov7">
    <w:name w:val="heading 7"/>
    <w:basedOn w:val="Normal"/>
    <w:next w:val="Normal"/>
    <w:link w:val="Naslov7Char"/>
    <w:uiPriority w:val="9"/>
    <w:qFormat/>
    <w:rsid w:val="00ED44F1"/>
    <w:pPr>
      <w:numPr>
        <w:ilvl w:val="6"/>
        <w:numId w:val="29"/>
      </w:numPr>
      <w:spacing w:before="240" w:after="60"/>
      <w:outlineLvl w:val="6"/>
    </w:pPr>
    <w:rPr>
      <w:rFonts w:ascii="Calibri" w:eastAsia="SimSun" w:hAnsi="Calibri"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qFormat/>
    <w:rsid w:val="00ED44F1"/>
    <w:pPr>
      <w:numPr>
        <w:ilvl w:val="7"/>
        <w:numId w:val="29"/>
      </w:numPr>
      <w:spacing w:before="240" w:after="60"/>
      <w:outlineLvl w:val="7"/>
    </w:pPr>
    <w:rPr>
      <w:rFonts w:ascii="Calibri" w:eastAsia="SimSun" w:hAnsi="Calibri"/>
      <w:i/>
      <w:iCs/>
      <w:sz w:val="24"/>
      <w:szCs w:val="24"/>
    </w:rPr>
  </w:style>
  <w:style w:type="paragraph" w:styleId="Naslov9">
    <w:name w:val="heading 9"/>
    <w:basedOn w:val="Normal"/>
    <w:next w:val="Normal"/>
    <w:link w:val="Naslov9Char"/>
    <w:uiPriority w:val="9"/>
    <w:qFormat/>
    <w:rsid w:val="00ED44F1"/>
    <w:pPr>
      <w:numPr>
        <w:ilvl w:val="8"/>
        <w:numId w:val="29"/>
      </w:numPr>
      <w:spacing w:before="240" w:after="60"/>
      <w:outlineLvl w:val="8"/>
    </w:pPr>
    <w:rPr>
      <w:rFonts w:ascii="Cambria" w:eastAsia="SimSun" w:hAnsi="Cambria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aslov11">
    <w:name w:val="Naslov 11"/>
    <w:basedOn w:val="Naslov1"/>
    <w:link w:val="Naslov1Char"/>
    <w:autoRedefine/>
    <w:qFormat/>
    <w:rsid w:val="00ED44F1"/>
    <w:pPr>
      <w:keepLines/>
      <w:numPr>
        <w:numId w:val="32"/>
      </w:numPr>
      <w:spacing w:before="100" w:beforeAutospacing="1" w:after="100" w:afterAutospacing="1"/>
      <w:jc w:val="left"/>
    </w:pPr>
    <w:rPr>
      <w:rFonts w:ascii="Calibri" w:eastAsia="SimSun" w:hAnsi="Calibri" w:cs="Tahoma"/>
      <w:bCs w:val="0"/>
      <w:sz w:val="28"/>
      <w:szCs w:val="36"/>
      <w:lang w:val="en-US"/>
    </w:rPr>
  </w:style>
  <w:style w:type="character" w:customStyle="1" w:styleId="Naslov1Char">
    <w:name w:val="Naslov 1 Char"/>
    <w:link w:val="Naslov11"/>
    <w:rsid w:val="00ED44F1"/>
    <w:rPr>
      <w:rFonts w:eastAsia="SimSun" w:cs="Tahoma"/>
      <w:b/>
      <w:sz w:val="28"/>
      <w:szCs w:val="36"/>
      <w:lang w:val="en-US" w:eastAsia="en-US"/>
    </w:rPr>
  </w:style>
  <w:style w:type="paragraph" w:customStyle="1" w:styleId="Naslov21">
    <w:name w:val="Naslov 21"/>
    <w:basedOn w:val="Normal"/>
    <w:next w:val="Naslov2"/>
    <w:link w:val="Naslov2Char"/>
    <w:autoRedefine/>
    <w:qFormat/>
    <w:rsid w:val="00ED44F1"/>
    <w:pPr>
      <w:numPr>
        <w:ilvl w:val="1"/>
        <w:numId w:val="32"/>
      </w:numPr>
      <w:spacing w:before="100" w:beforeAutospacing="1" w:after="100" w:afterAutospacing="1" w:line="264" w:lineRule="auto"/>
      <w:jc w:val="left"/>
    </w:pPr>
    <w:rPr>
      <w:rFonts w:ascii="Calibri" w:hAnsi="Calibri" w:cs="Tahoma"/>
      <w:b/>
      <w:sz w:val="24"/>
      <w:szCs w:val="36"/>
      <w:lang w:val="en-US"/>
    </w:rPr>
  </w:style>
  <w:style w:type="character" w:customStyle="1" w:styleId="Naslov2Char">
    <w:name w:val="Naslov 2 Char"/>
    <w:link w:val="Naslov21"/>
    <w:rsid w:val="00ED44F1"/>
    <w:rPr>
      <w:rFonts w:eastAsia="Calibri" w:cs="Tahoma"/>
      <w:b/>
      <w:sz w:val="24"/>
      <w:szCs w:val="36"/>
      <w:lang w:val="en-US" w:eastAsia="en-US"/>
    </w:rPr>
  </w:style>
  <w:style w:type="character" w:customStyle="1" w:styleId="Naslov2Char1">
    <w:name w:val="Naslov 2 Char1"/>
    <w:link w:val="Naslov2"/>
    <w:uiPriority w:val="9"/>
    <w:rsid w:val="00ED44F1"/>
    <w:rPr>
      <w:rFonts w:ascii="Tahoma" w:eastAsia="SimSun" w:hAnsi="Tahoma" w:cstheme="majorBidi"/>
      <w:b/>
      <w:bCs/>
      <w:iCs/>
      <w:szCs w:val="28"/>
      <w:lang w:val="hr-HR" w:eastAsia="en-US"/>
    </w:rPr>
  </w:style>
  <w:style w:type="paragraph" w:customStyle="1" w:styleId="A-Normal">
    <w:name w:val="A-Normal"/>
    <w:basedOn w:val="Normal"/>
    <w:link w:val="A-NormalChar"/>
    <w:uiPriority w:val="1"/>
    <w:rsid w:val="00ED44F1"/>
    <w:pPr>
      <w:widowControl w:val="0"/>
      <w:tabs>
        <w:tab w:val="left" w:pos="1418"/>
      </w:tabs>
      <w:spacing w:before="120" w:after="120" w:line="240" w:lineRule="exact"/>
      <w:ind w:left="720" w:right="-14"/>
    </w:pPr>
    <w:rPr>
      <w:rFonts w:ascii="Calibri" w:eastAsia="Times New Roman" w:hAnsi="Calibri" w:cs="Tahoma"/>
      <w:szCs w:val="20"/>
      <w:lang w:eastAsia="en-IN"/>
    </w:rPr>
  </w:style>
  <w:style w:type="character" w:customStyle="1" w:styleId="A-NormalChar">
    <w:name w:val="A-Normal Char"/>
    <w:link w:val="A-Normal"/>
    <w:uiPriority w:val="1"/>
    <w:locked/>
    <w:rsid w:val="00ED44F1"/>
    <w:rPr>
      <w:rFonts w:eastAsia="Times New Roman" w:cs="Tahoma"/>
      <w:lang w:val="hr-HR"/>
    </w:rPr>
  </w:style>
  <w:style w:type="character" w:customStyle="1" w:styleId="y2iqfc">
    <w:name w:val="y2iqfc"/>
    <w:basedOn w:val="Zadanifontodlomka"/>
    <w:rsid w:val="003B27D1"/>
  </w:style>
  <w:style w:type="character" w:customStyle="1" w:styleId="Naslov1Char1">
    <w:name w:val="Naslov 1 Char1"/>
    <w:link w:val="Naslov1"/>
    <w:uiPriority w:val="1"/>
    <w:rsid w:val="00ED44F1"/>
    <w:rPr>
      <w:rFonts w:ascii="Tahoma" w:eastAsia="Calibri" w:hAnsi="Tahoma" w:cs="Arial"/>
      <w:b/>
      <w:bCs/>
      <w:sz w:val="24"/>
      <w:szCs w:val="22"/>
      <w:lang w:val="en-GB" w:eastAsia="en-US"/>
    </w:rPr>
  </w:style>
  <w:style w:type="character" w:customStyle="1" w:styleId="Naslov3Char1">
    <w:name w:val="Naslov 3 Char1"/>
    <w:link w:val="Naslov3"/>
    <w:uiPriority w:val="9"/>
    <w:rsid w:val="00ED44F1"/>
    <w:rPr>
      <w:rFonts w:ascii="Tahoma" w:eastAsia="SimSun" w:hAnsi="Tahoma"/>
      <w:b/>
      <w:bCs/>
      <w:szCs w:val="26"/>
      <w:lang w:val="hr-HR" w:eastAsia="en-US"/>
    </w:rPr>
  </w:style>
  <w:style w:type="character" w:customStyle="1" w:styleId="Naslov4Char">
    <w:name w:val="Naslov 4 Char"/>
    <w:link w:val="Naslov4"/>
    <w:uiPriority w:val="9"/>
    <w:rsid w:val="00ED44F1"/>
    <w:rPr>
      <w:rFonts w:ascii="Tahoma" w:eastAsia="SimSun" w:hAnsi="Tahoma"/>
      <w:b/>
      <w:bCs/>
      <w:szCs w:val="28"/>
      <w:lang w:val="hr-HR" w:eastAsia="en-US"/>
    </w:rPr>
  </w:style>
  <w:style w:type="character" w:customStyle="1" w:styleId="Naslov5Char">
    <w:name w:val="Naslov 5 Char"/>
    <w:link w:val="Naslov5"/>
    <w:uiPriority w:val="9"/>
    <w:rsid w:val="00ED44F1"/>
    <w:rPr>
      <w:rFonts w:eastAsia="SimSun"/>
      <w:b/>
      <w:bCs/>
      <w:i/>
      <w:iCs/>
      <w:sz w:val="26"/>
      <w:szCs w:val="26"/>
      <w:lang w:val="hr-HR" w:eastAsia="en-US"/>
    </w:rPr>
  </w:style>
  <w:style w:type="character" w:customStyle="1" w:styleId="Naslov6Char">
    <w:name w:val="Naslov 6 Char"/>
    <w:link w:val="Naslov6"/>
    <w:uiPriority w:val="9"/>
    <w:rsid w:val="00ED44F1"/>
    <w:rPr>
      <w:rFonts w:eastAsia="SimSun"/>
      <w:b/>
      <w:bCs/>
      <w:sz w:val="22"/>
      <w:szCs w:val="22"/>
      <w:lang w:val="hr-HR" w:eastAsia="en-US"/>
    </w:rPr>
  </w:style>
  <w:style w:type="character" w:customStyle="1" w:styleId="Naslov7Char">
    <w:name w:val="Naslov 7 Char"/>
    <w:link w:val="Naslov7"/>
    <w:uiPriority w:val="9"/>
    <w:rsid w:val="00ED44F1"/>
    <w:rPr>
      <w:rFonts w:eastAsia="SimSun"/>
      <w:sz w:val="24"/>
      <w:szCs w:val="24"/>
      <w:lang w:val="hr-HR" w:eastAsia="en-US"/>
    </w:rPr>
  </w:style>
  <w:style w:type="character" w:customStyle="1" w:styleId="Naslov8Char">
    <w:name w:val="Naslov 8 Char"/>
    <w:link w:val="Naslov8"/>
    <w:uiPriority w:val="9"/>
    <w:rsid w:val="00ED44F1"/>
    <w:rPr>
      <w:rFonts w:eastAsia="SimSun"/>
      <w:i/>
      <w:iCs/>
      <w:sz w:val="24"/>
      <w:szCs w:val="24"/>
      <w:lang w:val="hr-HR" w:eastAsia="en-US"/>
    </w:rPr>
  </w:style>
  <w:style w:type="character" w:customStyle="1" w:styleId="Naslov9Char">
    <w:name w:val="Naslov 9 Char"/>
    <w:link w:val="Naslov9"/>
    <w:uiPriority w:val="9"/>
    <w:rsid w:val="00ED44F1"/>
    <w:rPr>
      <w:rFonts w:ascii="Cambria" w:eastAsia="SimSun" w:hAnsi="Cambria"/>
      <w:sz w:val="22"/>
      <w:szCs w:val="22"/>
      <w:lang w:val="hr-HR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ED44F1"/>
  </w:style>
  <w:style w:type="paragraph" w:styleId="Sadraj2">
    <w:name w:val="toc 2"/>
    <w:basedOn w:val="Normal"/>
    <w:next w:val="Normal"/>
    <w:autoRedefine/>
    <w:uiPriority w:val="39"/>
    <w:unhideWhenUsed/>
    <w:rsid w:val="00ED44F1"/>
    <w:pPr>
      <w:ind w:left="200"/>
    </w:pPr>
  </w:style>
  <w:style w:type="paragraph" w:styleId="Sadraj3">
    <w:name w:val="toc 3"/>
    <w:basedOn w:val="Normal"/>
    <w:next w:val="Normal"/>
    <w:autoRedefine/>
    <w:uiPriority w:val="39"/>
    <w:unhideWhenUsed/>
    <w:rsid w:val="00ED44F1"/>
    <w:pPr>
      <w:ind w:left="400"/>
    </w:pPr>
  </w:style>
  <w:style w:type="paragraph" w:styleId="Zaglavlje">
    <w:name w:val="header"/>
    <w:basedOn w:val="Normal"/>
    <w:link w:val="ZaglavljeChar"/>
    <w:uiPriority w:val="1"/>
    <w:unhideWhenUsed/>
    <w:rsid w:val="00ED44F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1"/>
    <w:rsid w:val="00ED44F1"/>
    <w:rPr>
      <w:rFonts w:ascii="Tahoma" w:eastAsia="Calibri" w:hAnsi="Tahoma"/>
      <w:szCs w:val="22"/>
      <w:lang w:val="hr-HR" w:eastAsia="en-US"/>
    </w:rPr>
  </w:style>
  <w:style w:type="paragraph" w:styleId="Podnoje">
    <w:name w:val="footer"/>
    <w:basedOn w:val="Normal"/>
    <w:link w:val="PodnojeChar"/>
    <w:uiPriority w:val="99"/>
    <w:unhideWhenUsed/>
    <w:rsid w:val="00ED44F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ED44F1"/>
    <w:rPr>
      <w:rFonts w:ascii="Tahoma" w:eastAsia="Calibri" w:hAnsi="Tahoma"/>
      <w:szCs w:val="22"/>
      <w:lang w:val="hr-HR" w:eastAsia="en-US"/>
    </w:rPr>
  </w:style>
  <w:style w:type="paragraph" w:styleId="Opisslike">
    <w:name w:val="caption"/>
    <w:basedOn w:val="Normal"/>
    <w:next w:val="Normal"/>
    <w:uiPriority w:val="35"/>
    <w:qFormat/>
    <w:rsid w:val="00ED44F1"/>
    <w:pPr>
      <w:jc w:val="center"/>
    </w:pPr>
    <w:rPr>
      <w:bCs/>
      <w:i/>
      <w:sz w:val="18"/>
      <w:szCs w:val="20"/>
    </w:rPr>
  </w:style>
  <w:style w:type="paragraph" w:styleId="Tablicaslika">
    <w:name w:val="table of figures"/>
    <w:basedOn w:val="Normal"/>
    <w:next w:val="Normal"/>
    <w:uiPriority w:val="99"/>
    <w:unhideWhenUsed/>
    <w:rsid w:val="00ED44F1"/>
  </w:style>
  <w:style w:type="paragraph" w:styleId="Naslov">
    <w:name w:val="Title"/>
    <w:basedOn w:val="Normal"/>
    <w:next w:val="Normal"/>
    <w:link w:val="NaslovChar"/>
    <w:uiPriority w:val="10"/>
    <w:qFormat/>
    <w:rsid w:val="00ED44F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slovChar">
    <w:name w:val="Naslov Char"/>
    <w:link w:val="Naslov"/>
    <w:uiPriority w:val="10"/>
    <w:rsid w:val="00ED44F1"/>
    <w:rPr>
      <w:rFonts w:asciiTheme="majorHAnsi" w:eastAsiaTheme="majorEastAsia" w:hAnsiTheme="majorHAnsi" w:cstheme="majorBidi"/>
      <w:b/>
      <w:bCs/>
      <w:kern w:val="28"/>
      <w:sz w:val="32"/>
      <w:szCs w:val="32"/>
      <w:lang w:val="hr-HR" w:eastAsia="en-US"/>
    </w:rPr>
  </w:style>
  <w:style w:type="paragraph" w:styleId="Podnaslov">
    <w:name w:val="Subtitle"/>
    <w:aliases w:val="A-SW-Podnaslov"/>
    <w:basedOn w:val="Normal"/>
    <w:next w:val="Normal"/>
    <w:link w:val="PodnaslovChar"/>
    <w:autoRedefine/>
    <w:uiPriority w:val="11"/>
    <w:qFormat/>
    <w:rsid w:val="006D2167"/>
    <w:pPr>
      <w:spacing w:after="60"/>
      <w:jc w:val="center"/>
      <w:outlineLvl w:val="1"/>
    </w:pPr>
    <w:rPr>
      <w:rFonts w:ascii="Calibri" w:eastAsia="Times New Roman" w:hAnsi="Calibri"/>
      <w:b/>
      <w:sz w:val="24"/>
      <w:szCs w:val="24"/>
      <w:lang w:val="en-IN"/>
    </w:rPr>
  </w:style>
  <w:style w:type="character" w:customStyle="1" w:styleId="PodnaslovChar">
    <w:name w:val="Podnaslov Char"/>
    <w:aliases w:val="A-SW-Podnaslov Char"/>
    <w:link w:val="Podnaslov"/>
    <w:uiPriority w:val="11"/>
    <w:rsid w:val="006D2167"/>
    <w:rPr>
      <w:rFonts w:eastAsia="Times New Roman"/>
      <w:b/>
      <w:sz w:val="24"/>
      <w:szCs w:val="24"/>
      <w:lang w:eastAsia="en-US"/>
    </w:rPr>
  </w:style>
  <w:style w:type="paragraph" w:styleId="Tijeloteksta-uvlaka3">
    <w:name w:val="Body Text Indent 3"/>
    <w:basedOn w:val="Normal"/>
    <w:link w:val="Tijeloteksta-uvlaka3Char"/>
    <w:uiPriority w:val="99"/>
    <w:semiHidden/>
    <w:unhideWhenUsed/>
    <w:rsid w:val="00ED44F1"/>
    <w:pPr>
      <w:spacing w:after="120"/>
      <w:ind w:left="360"/>
    </w:pPr>
    <w:rPr>
      <w:rFonts w:cs="Arial"/>
      <w:sz w:val="16"/>
      <w:szCs w:val="16"/>
    </w:rPr>
  </w:style>
  <w:style w:type="character" w:customStyle="1" w:styleId="Tijeloteksta-uvlaka3Char">
    <w:name w:val="Tijelo teksta - uvlaka 3 Char"/>
    <w:link w:val="Tijeloteksta-uvlaka3"/>
    <w:uiPriority w:val="99"/>
    <w:semiHidden/>
    <w:rsid w:val="00ED44F1"/>
    <w:rPr>
      <w:rFonts w:ascii="Tahoma" w:eastAsia="Calibri" w:hAnsi="Tahoma" w:cs="Arial"/>
      <w:sz w:val="16"/>
      <w:szCs w:val="16"/>
      <w:lang w:val="hr-HR" w:eastAsia="en-US"/>
    </w:rPr>
  </w:style>
  <w:style w:type="character" w:styleId="Hiperveza">
    <w:name w:val="Hyperlink"/>
    <w:uiPriority w:val="99"/>
    <w:unhideWhenUsed/>
    <w:rsid w:val="00ED44F1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ED44F1"/>
    <w:rPr>
      <w:color w:val="800080"/>
      <w:u w:val="single"/>
    </w:rPr>
  </w:style>
  <w:style w:type="character" w:styleId="Naglaeno">
    <w:name w:val="Strong"/>
    <w:uiPriority w:val="22"/>
    <w:qFormat/>
    <w:rsid w:val="00ED44F1"/>
    <w:rPr>
      <w:b/>
      <w:bCs/>
    </w:rPr>
  </w:style>
  <w:style w:type="character" w:styleId="Istaknuto">
    <w:name w:val="Emphasis"/>
    <w:uiPriority w:val="20"/>
    <w:qFormat/>
    <w:rsid w:val="00ED44F1"/>
    <w:rPr>
      <w:i/>
      <w:iCs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ED44F1"/>
    <w:rPr>
      <w:rFonts w:ascii="Courier New" w:hAnsi="Courier New" w:cs="Courier New"/>
      <w:szCs w:val="20"/>
    </w:rPr>
  </w:style>
  <w:style w:type="character" w:customStyle="1" w:styleId="HTMLunaprijedoblikovanoChar">
    <w:name w:val="HTML unaprijed oblikovano Char"/>
    <w:link w:val="HTMLunaprijedoblikovano"/>
    <w:uiPriority w:val="99"/>
    <w:semiHidden/>
    <w:rsid w:val="00ED44F1"/>
    <w:rPr>
      <w:rFonts w:ascii="Courier New" w:eastAsia="Calibri" w:hAnsi="Courier New" w:cs="Courier New"/>
      <w:lang w:val="hr-H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44F1"/>
    <w:pPr>
      <w:spacing w:after="0" w:line="240" w:lineRule="auto"/>
    </w:pPr>
    <w:rPr>
      <w:rFonts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ED44F1"/>
    <w:rPr>
      <w:rFonts w:ascii="Tahoma" w:eastAsia="Calibri" w:hAnsi="Tahoma" w:cs="Tahoma"/>
      <w:sz w:val="16"/>
      <w:szCs w:val="16"/>
      <w:lang w:val="hr-HR" w:eastAsia="en-US"/>
    </w:rPr>
  </w:style>
  <w:style w:type="table" w:styleId="Reetkatablice">
    <w:name w:val="Table Grid"/>
    <w:basedOn w:val="Obinatablica"/>
    <w:uiPriority w:val="59"/>
    <w:rsid w:val="00ED44F1"/>
    <w:rPr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D44F1"/>
    <w:pPr>
      <w:jc w:val="both"/>
    </w:pPr>
    <w:rPr>
      <w:rFonts w:ascii="Tahoma" w:hAnsi="Tahoma"/>
      <w:szCs w:val="22"/>
      <w:lang w:val="hr-HR" w:eastAsia="en-US"/>
    </w:rPr>
  </w:style>
  <w:style w:type="paragraph" w:styleId="Citat">
    <w:name w:val="Quote"/>
    <w:basedOn w:val="Normal"/>
    <w:next w:val="Normal"/>
    <w:link w:val="CitatChar"/>
    <w:uiPriority w:val="29"/>
    <w:qFormat/>
    <w:rsid w:val="00ED44F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link w:val="Citat"/>
    <w:uiPriority w:val="29"/>
    <w:rsid w:val="00ED44F1"/>
    <w:rPr>
      <w:rFonts w:ascii="Tahoma" w:eastAsia="Calibri" w:hAnsi="Tahoma"/>
      <w:i/>
      <w:iCs/>
      <w:color w:val="404040" w:themeColor="text1" w:themeTint="BF"/>
      <w:szCs w:val="22"/>
      <w:lang w:val="hr-HR" w:eastAsia="en-US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D44F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NaglaencitatChar">
    <w:name w:val="Naglašen citat Char"/>
    <w:link w:val="Naglaencitat"/>
    <w:uiPriority w:val="30"/>
    <w:rsid w:val="00ED44F1"/>
    <w:rPr>
      <w:rFonts w:ascii="Tahoma" w:eastAsia="Calibri" w:hAnsi="Tahoma"/>
      <w:i/>
      <w:iCs/>
      <w:color w:val="4472C4" w:themeColor="accent1"/>
      <w:szCs w:val="22"/>
      <w:lang w:val="hr-HR" w:eastAsia="en-US"/>
    </w:rPr>
  </w:style>
  <w:style w:type="character" w:styleId="Neupadljivoisticanje">
    <w:name w:val="Subtle Emphasis"/>
    <w:uiPriority w:val="19"/>
    <w:qFormat/>
    <w:rsid w:val="00ED44F1"/>
    <w:rPr>
      <w:i/>
      <w:iCs/>
      <w:color w:val="404040" w:themeColor="text1" w:themeTint="BF"/>
    </w:rPr>
  </w:style>
  <w:style w:type="character" w:styleId="Jakoisticanje">
    <w:name w:val="Intense Emphasis"/>
    <w:uiPriority w:val="21"/>
    <w:qFormat/>
    <w:rsid w:val="00ED44F1"/>
    <w:rPr>
      <w:i/>
      <w:iCs/>
      <w:color w:val="4472C4" w:themeColor="accent1"/>
    </w:rPr>
  </w:style>
  <w:style w:type="character" w:styleId="Neupadljivareferenca">
    <w:name w:val="Subtle Reference"/>
    <w:uiPriority w:val="31"/>
    <w:qFormat/>
    <w:rsid w:val="00ED44F1"/>
    <w:rPr>
      <w:smallCaps/>
      <w:color w:val="5A5A5A" w:themeColor="text1" w:themeTint="A5"/>
    </w:rPr>
  </w:style>
  <w:style w:type="character" w:styleId="Istaknutareferenca">
    <w:name w:val="Intense Reference"/>
    <w:uiPriority w:val="32"/>
    <w:qFormat/>
    <w:rsid w:val="00ED44F1"/>
    <w:rPr>
      <w:b/>
      <w:bCs/>
      <w:smallCaps/>
      <w:color w:val="4472C4" w:themeColor="accent1"/>
      <w:spacing w:val="5"/>
    </w:rPr>
  </w:style>
  <w:style w:type="character" w:styleId="Naslovknjige">
    <w:name w:val="Book Title"/>
    <w:uiPriority w:val="33"/>
    <w:qFormat/>
    <w:rsid w:val="00ED44F1"/>
    <w:rPr>
      <w:b/>
      <w:bCs/>
      <w:i/>
      <w:iCs/>
      <w:spacing w:val="5"/>
    </w:rPr>
  </w:style>
  <w:style w:type="paragraph" w:styleId="TOCNaslov">
    <w:name w:val="TOC Heading"/>
    <w:basedOn w:val="Naslov1"/>
    <w:next w:val="Normal"/>
    <w:uiPriority w:val="39"/>
    <w:qFormat/>
    <w:rsid w:val="00ED44F1"/>
    <w:pPr>
      <w:keepLines/>
      <w:spacing w:before="480" w:after="0" w:line="276" w:lineRule="auto"/>
      <w:outlineLvl w:val="9"/>
    </w:pPr>
    <w:rPr>
      <w:rFonts w:ascii="Cambria" w:eastAsia="MS Gothic" w:hAnsi="Cambria"/>
      <w:color w:val="365F91"/>
      <w:sz w:val="28"/>
      <w:szCs w:val="28"/>
      <w:lang w:val="en-US" w:eastAsia="ja-JP"/>
    </w:rPr>
  </w:style>
  <w:style w:type="paragraph" w:customStyle="1" w:styleId="Tekst">
    <w:name w:val="Tekst"/>
    <w:basedOn w:val="Normal"/>
    <w:autoRedefine/>
    <w:qFormat/>
    <w:rsid w:val="00ED44F1"/>
    <w:pPr>
      <w:spacing w:after="160" w:line="259" w:lineRule="auto"/>
      <w:jc w:val="left"/>
    </w:pPr>
    <w:rPr>
      <w:rFonts w:ascii="Calibri" w:eastAsia="Times New Roman" w:hAnsi="Calibri"/>
    </w:rPr>
  </w:style>
  <w:style w:type="paragraph" w:customStyle="1" w:styleId="Naslov31">
    <w:name w:val="Naslov 31"/>
    <w:basedOn w:val="Naslov21"/>
    <w:link w:val="Naslov3Char"/>
    <w:autoRedefine/>
    <w:qFormat/>
    <w:rsid w:val="00ED44F1"/>
    <w:pPr>
      <w:numPr>
        <w:ilvl w:val="2"/>
        <w:numId w:val="33"/>
      </w:numPr>
    </w:pPr>
  </w:style>
  <w:style w:type="character" w:customStyle="1" w:styleId="Naslov3Char">
    <w:name w:val="Naslov 3 Char"/>
    <w:link w:val="Naslov31"/>
    <w:rsid w:val="00ED44F1"/>
    <w:rPr>
      <w:rFonts w:eastAsia="Calibri" w:cs="Tahoma"/>
      <w:b/>
      <w:sz w:val="24"/>
      <w:szCs w:val="36"/>
      <w:lang w:val="en-US" w:eastAsia="en-US"/>
    </w:rPr>
  </w:style>
  <w:style w:type="paragraph" w:styleId="Grafikeoznake">
    <w:name w:val="List Bullet"/>
    <w:basedOn w:val="Normal"/>
    <w:uiPriority w:val="99"/>
    <w:unhideWhenUsed/>
    <w:rsid w:val="00ED44F1"/>
    <w:pPr>
      <w:numPr>
        <w:numId w:val="30"/>
      </w:numPr>
      <w:contextualSpacing/>
    </w:pPr>
  </w:style>
  <w:style w:type="paragraph" w:customStyle="1" w:styleId="Nabrajanje">
    <w:name w:val="Nabrajanje"/>
    <w:basedOn w:val="Grafikeoznake"/>
    <w:qFormat/>
    <w:rsid w:val="00ED44F1"/>
    <w:pPr>
      <w:spacing w:after="120" w:line="264" w:lineRule="auto"/>
      <w:ind w:left="720"/>
      <w:jc w:val="left"/>
    </w:pPr>
    <w:rPr>
      <w:rFonts w:ascii="Calibri" w:hAnsi="Calibri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D44F1"/>
    <w:pPr>
      <w:spacing w:line="240" w:lineRule="auto"/>
      <w:jc w:val="left"/>
    </w:pPr>
    <w:rPr>
      <w:rFonts w:ascii="Calibri" w:hAnsi="Calibri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D44F1"/>
    <w:rPr>
      <w:rFonts w:eastAsia="Calibri"/>
      <w:lang w:val="en-US" w:eastAsia="en-US"/>
    </w:rPr>
  </w:style>
  <w:style w:type="character" w:styleId="Referencakomentara">
    <w:name w:val="annotation reference"/>
    <w:uiPriority w:val="99"/>
    <w:semiHidden/>
    <w:unhideWhenUsed/>
    <w:rsid w:val="00ED44F1"/>
    <w:rPr>
      <w:sz w:val="16"/>
      <w:szCs w:val="16"/>
    </w:rPr>
  </w:style>
  <w:style w:type="paragraph" w:styleId="Odlomakpopisa">
    <w:name w:val="List Paragraph"/>
    <w:basedOn w:val="Normal"/>
    <w:link w:val="OdlomakpopisaChar"/>
    <w:uiPriority w:val="34"/>
    <w:qFormat/>
    <w:rsid w:val="00ED44F1"/>
    <w:pPr>
      <w:ind w:left="720"/>
      <w:contextualSpacing/>
      <w:jc w:val="left"/>
    </w:pPr>
    <w:rPr>
      <w:rFonts w:ascii="Calibri" w:hAnsi="Calibri"/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4F793F"/>
    <w:rPr>
      <w:sz w:val="22"/>
      <w:szCs w:val="22"/>
      <w:lang w:val="en-US" w:eastAsia="en-US"/>
    </w:rPr>
  </w:style>
  <w:style w:type="table" w:customStyle="1" w:styleId="ListTable3-Accent11">
    <w:name w:val="List Table 3 - Accent 11"/>
    <w:basedOn w:val="Obinatablica"/>
    <w:uiPriority w:val="48"/>
    <w:rsid w:val="004F793F"/>
    <w:rPr>
      <w:rFonts w:asciiTheme="minorHAnsi" w:eastAsiaTheme="minorHAnsi" w:hAnsiTheme="minorHAnsi" w:cstheme="minorBidi"/>
      <w:sz w:val="22"/>
      <w:szCs w:val="22"/>
      <w:lang w:val="hr-HR" w:eastAsia="en-US"/>
    </w:rPr>
    <w:tblPr>
      <w:tblStyleRowBandSize w:val="1"/>
      <w:tblStyleColBandSize w:val="1"/>
      <w:tblInd w:w="0" w:type="nil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2022-11-03T12:34:00Z</dcterms:created>
  <dcterms:modified xsi:type="dcterms:W3CDTF">2022-11-03T12:40:00Z</dcterms:modified>
</cp:coreProperties>
</file>