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9EC48" w14:textId="77777777" w:rsidR="007154B0" w:rsidRDefault="007154B0" w:rsidP="007154B0">
      <w:pPr>
        <w:spacing w:after="58" w:line="259" w:lineRule="auto"/>
        <w:ind w:left="51" w:right="0" w:firstLine="0"/>
        <w:jc w:val="center"/>
      </w:pPr>
      <w:r>
        <w:rPr>
          <w:noProof/>
        </w:rPr>
        <w:drawing>
          <wp:inline distT="0" distB="0" distL="0" distR="0" wp14:anchorId="5AE0CFDD" wp14:editId="7D93453B">
            <wp:extent cx="1085850" cy="819150"/>
            <wp:effectExtent l="0" t="0" r="0" b="0"/>
            <wp:docPr id="102" name="Picture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28FA6A1D" w14:textId="77777777" w:rsidR="007154B0" w:rsidRPr="00164702" w:rsidRDefault="007154B0" w:rsidP="00164702">
      <w:pPr>
        <w:spacing w:after="0" w:line="276" w:lineRule="auto"/>
        <w:ind w:left="0" w:right="0" w:firstLine="0"/>
        <w:jc w:val="center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 xml:space="preserve">OBAVIJEST O ODABIRU </w:t>
      </w:r>
    </w:p>
    <w:p w14:paraId="29C599DA" w14:textId="443E2BEF" w:rsidR="007154B0" w:rsidRPr="00164702" w:rsidRDefault="007154B0" w:rsidP="00164702">
      <w:pPr>
        <w:spacing w:after="0" w:line="276" w:lineRule="auto"/>
        <w:ind w:left="0" w:right="0" w:firstLine="0"/>
        <w:jc w:val="center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JN-2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1</w:t>
      </w:r>
      <w:r w:rsidRPr="00164702">
        <w:rPr>
          <w:rFonts w:asciiTheme="majorHAnsi" w:hAnsiTheme="majorHAnsi" w:cstheme="majorHAnsi"/>
          <w:b/>
          <w:bCs/>
          <w:sz w:val="22"/>
        </w:rPr>
        <w:t>-23</w:t>
      </w:r>
    </w:p>
    <w:p w14:paraId="1CAC0655" w14:textId="77777777" w:rsidR="007154B0" w:rsidRPr="00164702" w:rsidRDefault="007154B0" w:rsidP="00164702">
      <w:pPr>
        <w:spacing w:after="0" w:line="276" w:lineRule="auto"/>
        <w:ind w:left="0" w:right="0" w:firstLine="0"/>
        <w:jc w:val="center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sz w:val="22"/>
        </w:rPr>
        <w:t xml:space="preserve">  </w:t>
      </w:r>
    </w:p>
    <w:p w14:paraId="0E7B9EF5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 xml:space="preserve">1. Naručitelj: </w:t>
      </w:r>
      <w:r w:rsidRPr="00164702">
        <w:rPr>
          <w:rFonts w:asciiTheme="majorHAnsi" w:hAnsiTheme="majorHAnsi" w:cstheme="majorHAnsi"/>
          <w:b/>
          <w:bCs/>
          <w:sz w:val="22"/>
        </w:rPr>
        <w:tab/>
        <w:t>PULA HERCULANEA d.o.o.</w:t>
      </w:r>
      <w:r w:rsidRPr="00164702">
        <w:rPr>
          <w:rFonts w:asciiTheme="majorHAnsi" w:hAnsiTheme="majorHAnsi" w:cstheme="majorHAnsi"/>
          <w:sz w:val="22"/>
        </w:rPr>
        <w:t xml:space="preserve"> Trg I. Istarske brigade 14, Pula</w:t>
      </w:r>
    </w:p>
    <w:p w14:paraId="378DD9B2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57E56072" w14:textId="147C1B80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2. Predmet i broj jednostavne nabave:</w:t>
      </w:r>
      <w:r w:rsidRPr="00164702">
        <w:rPr>
          <w:rFonts w:asciiTheme="majorHAnsi" w:hAnsiTheme="majorHAnsi" w:cstheme="majorHAnsi"/>
          <w:sz w:val="22"/>
        </w:rPr>
        <w:t xml:space="preserve">  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GRADNJA PODZEMNIH KONTEJNERA – 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2</w:t>
      </w:r>
      <w:r w:rsidRPr="00164702">
        <w:rPr>
          <w:rFonts w:asciiTheme="majorHAnsi" w:hAnsiTheme="majorHAnsi" w:cstheme="majorHAnsi"/>
          <w:b/>
          <w:bCs/>
          <w:sz w:val="22"/>
        </w:rPr>
        <w:t>. FAZA G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4</w:t>
      </w:r>
    </w:p>
    <w:p w14:paraId="15B1ED01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65DDEEF1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3. Vrsta postupka i zakonska osnova za provođenje postupka nabave:</w:t>
      </w:r>
      <w:r w:rsidRPr="00164702">
        <w:rPr>
          <w:rFonts w:asciiTheme="majorHAnsi" w:hAnsiTheme="majorHAnsi" w:cstheme="majorHAnsi"/>
          <w:sz w:val="22"/>
        </w:rPr>
        <w:t xml:space="preserve"> sukladno članku 12. stavku 1.  Zakona o javnoj nabavi (NN 120/16),</w:t>
      </w:r>
    </w:p>
    <w:p w14:paraId="0E247A81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287C705F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4. Vrsta ugovora:</w:t>
      </w:r>
      <w:r w:rsidRPr="00164702">
        <w:rPr>
          <w:rFonts w:asciiTheme="majorHAnsi" w:hAnsiTheme="majorHAnsi" w:cstheme="majorHAnsi"/>
          <w:sz w:val="22"/>
        </w:rPr>
        <w:t xml:space="preserve"> Ugovor o javnoj nabavi radova</w:t>
      </w:r>
    </w:p>
    <w:p w14:paraId="48EFA741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2CF0520A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5. Odabir i razlozi:</w:t>
      </w:r>
    </w:p>
    <w:p w14:paraId="1A8812EA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sz w:val="22"/>
        </w:rPr>
        <w:t>Temeljem prikupljene dokumentacije, Stručno povjerenstvo utvrdilo je da je:</w:t>
      </w:r>
    </w:p>
    <w:p w14:paraId="714A6735" w14:textId="594C5F0D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sz w:val="22"/>
        </w:rPr>
        <w:t>Ponuditelj</w:t>
      </w:r>
      <w:r w:rsidRPr="00164702">
        <w:rPr>
          <w:rFonts w:asciiTheme="majorHAnsi" w:hAnsiTheme="majorHAnsi" w:cstheme="majorHAnsi"/>
          <w:bCs/>
          <w:sz w:val="22"/>
        </w:rPr>
        <w:t xml:space="preserve"> 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TGT ADRIATIK d.o.o. </w:t>
      </w:r>
      <w:r w:rsidRPr="00164702">
        <w:rPr>
          <w:rFonts w:asciiTheme="majorHAnsi" w:hAnsiTheme="majorHAnsi" w:cstheme="majorHAnsi"/>
          <w:sz w:val="22"/>
        </w:rPr>
        <w:t xml:space="preserve">Zadarska 18, Pula, OIB: </w:t>
      </w:r>
      <w:r w:rsidRPr="00164702">
        <w:rPr>
          <w:rFonts w:asciiTheme="majorHAnsi" w:hAnsiTheme="majorHAnsi" w:cstheme="majorHAnsi"/>
          <w:sz w:val="22"/>
          <w:shd w:val="clear" w:color="auto" w:fill="F8F8F8"/>
          <w:lang w:eastAsia="en-GB"/>
        </w:rPr>
        <w:t>16687620362</w:t>
      </w:r>
      <w:r w:rsidRPr="00164702">
        <w:rPr>
          <w:rFonts w:asciiTheme="majorHAnsi" w:hAnsiTheme="majorHAnsi" w:cstheme="majorHAnsi"/>
          <w:sz w:val="22"/>
        </w:rPr>
        <w:t xml:space="preserve">, dostavio je ponudu za koju se  u postupku pregleda i ocjene utvrdilo da nije nepravilna, neprikladna i neprihvatljiva, te ne postoje osnove za isključenje ponuditelja. Ponuditelj je ispunio sve kriterije za odabir gospodarskog subjekta (uvjete sposobnosti), zadovoljio zahtjeve i uvjete vezane uz predmet nabave i tehničke specifikacije, te podnio ekonomski najpovoljniju ponudu s </w:t>
      </w:r>
      <w:r w:rsidRPr="00164702">
        <w:rPr>
          <w:rFonts w:asciiTheme="majorHAnsi" w:hAnsiTheme="majorHAnsi" w:cstheme="majorHAnsi"/>
          <w:bCs/>
          <w:sz w:val="22"/>
        </w:rPr>
        <w:t>kriterijem najniže cijene 100 %,</w:t>
      </w:r>
      <w:r w:rsidRPr="00164702">
        <w:rPr>
          <w:rFonts w:asciiTheme="majorHAnsi" w:hAnsiTheme="majorHAnsi" w:cstheme="majorHAnsi"/>
          <w:sz w:val="22"/>
        </w:rPr>
        <w:t xml:space="preserve"> čija cijena nije veća od planiranih sredstva za nabavu. Cijena ponude iznosi 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od 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60.645,92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 eura (slovima: 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šezdeset tisuća šesto četrdeset pet eura i devedeset dva centa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) bez PDV-a, odnosno </w:t>
      </w:r>
      <w:r w:rsidR="00164702" w:rsidRPr="00164702">
        <w:rPr>
          <w:rFonts w:asciiTheme="majorHAnsi" w:hAnsiTheme="majorHAnsi" w:cstheme="majorHAnsi"/>
          <w:b/>
          <w:bCs/>
          <w:sz w:val="22"/>
        </w:rPr>
        <w:t>75.707,40</w:t>
      </w:r>
      <w:r w:rsidRPr="00164702">
        <w:rPr>
          <w:rFonts w:asciiTheme="majorHAnsi" w:hAnsiTheme="majorHAnsi" w:cstheme="majorHAnsi"/>
          <w:b/>
          <w:bCs/>
          <w:sz w:val="22"/>
        </w:rPr>
        <w:t xml:space="preserve"> eura</w:t>
      </w:r>
    </w:p>
    <w:p w14:paraId="4E66520A" w14:textId="29EB67DD" w:rsidR="007154B0" w:rsidRPr="00164702" w:rsidRDefault="007154B0" w:rsidP="00164702">
      <w:pPr>
        <w:pStyle w:val="Tijeloteksta"/>
        <w:tabs>
          <w:tab w:val="center" w:pos="4536"/>
          <w:tab w:val="left" w:pos="8280"/>
        </w:tabs>
        <w:spacing w:line="276" w:lineRule="auto"/>
        <w:rPr>
          <w:rFonts w:asciiTheme="majorHAnsi" w:hAnsiTheme="majorHAnsi" w:cstheme="majorHAnsi"/>
          <w:b/>
          <w:bCs/>
          <w:sz w:val="22"/>
          <w:szCs w:val="22"/>
        </w:rPr>
      </w:pPr>
      <w:r w:rsidRPr="00164702">
        <w:rPr>
          <w:rFonts w:asciiTheme="majorHAnsi" w:hAnsiTheme="majorHAnsi" w:cstheme="majorHAnsi"/>
          <w:b/>
          <w:bCs/>
          <w:sz w:val="22"/>
          <w:szCs w:val="22"/>
        </w:rPr>
        <w:t xml:space="preserve">(slovima: </w:t>
      </w:r>
      <w:r w:rsidR="00164702" w:rsidRPr="00164702">
        <w:rPr>
          <w:rFonts w:asciiTheme="majorHAnsi" w:hAnsiTheme="majorHAnsi" w:cstheme="majorHAnsi"/>
          <w:b/>
          <w:bCs/>
          <w:sz w:val="22"/>
          <w:szCs w:val="22"/>
        </w:rPr>
        <w:t>sedamdeset pet tisuća sedamsto sedam eura i četrdeset centi</w:t>
      </w:r>
      <w:r w:rsidRPr="00164702">
        <w:rPr>
          <w:rFonts w:asciiTheme="majorHAnsi" w:hAnsiTheme="majorHAnsi" w:cstheme="majorHAnsi"/>
          <w:b/>
          <w:bCs/>
          <w:sz w:val="22"/>
          <w:szCs w:val="22"/>
        </w:rPr>
        <w:t xml:space="preserve">) s PDV-om . </w:t>
      </w:r>
    </w:p>
    <w:p w14:paraId="46663827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</w:p>
    <w:p w14:paraId="5A8506EF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6. Razlog isključenja ponuditelja:</w:t>
      </w:r>
    </w:p>
    <w:p w14:paraId="3C67E5B4" w14:textId="77777777" w:rsidR="007154B0" w:rsidRPr="00164702" w:rsidRDefault="007154B0" w:rsidP="00164702">
      <w:pPr>
        <w:pStyle w:val="Naslov1"/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  <w:r w:rsidRPr="00164702">
        <w:rPr>
          <w:rFonts w:asciiTheme="majorHAnsi" w:hAnsiTheme="majorHAnsi" w:cstheme="majorHAnsi"/>
          <w:b w:val="0"/>
          <w:sz w:val="22"/>
          <w:szCs w:val="22"/>
        </w:rPr>
        <w:t>Nema razloga isključenja.</w:t>
      </w:r>
    </w:p>
    <w:p w14:paraId="78E3ECEC" w14:textId="77777777" w:rsidR="007154B0" w:rsidRPr="00164702" w:rsidRDefault="007154B0" w:rsidP="00164702">
      <w:pPr>
        <w:pStyle w:val="Naslov1"/>
        <w:spacing w:line="276" w:lineRule="auto"/>
        <w:rPr>
          <w:rFonts w:asciiTheme="majorHAnsi" w:hAnsiTheme="majorHAnsi" w:cstheme="majorHAnsi"/>
          <w:b w:val="0"/>
          <w:sz w:val="22"/>
          <w:szCs w:val="22"/>
        </w:rPr>
      </w:pPr>
    </w:p>
    <w:p w14:paraId="5B052553" w14:textId="77777777" w:rsidR="007154B0" w:rsidRPr="00164702" w:rsidRDefault="007154B0" w:rsidP="00164702">
      <w:pPr>
        <w:pStyle w:val="Naslov1"/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 w:rsidRPr="00164702">
        <w:rPr>
          <w:rFonts w:asciiTheme="majorHAnsi" w:hAnsiTheme="majorHAnsi" w:cstheme="majorHAnsi"/>
          <w:bCs/>
          <w:sz w:val="22"/>
          <w:szCs w:val="22"/>
        </w:rPr>
        <w:t>7. Razlog za odbijanje ponuda:</w:t>
      </w:r>
    </w:p>
    <w:p w14:paraId="6F75CA46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sz w:val="22"/>
        </w:rPr>
        <w:t>Nema razloga odbijanja.</w:t>
      </w:r>
    </w:p>
    <w:p w14:paraId="14DDD991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1DF04627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8. Uputa o pravnom lijeku:</w:t>
      </w:r>
    </w:p>
    <w:p w14:paraId="25BFFBAB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sz w:val="22"/>
        </w:rPr>
        <w:t>Žalba nije dozvoljena.</w:t>
      </w:r>
    </w:p>
    <w:p w14:paraId="51269D1F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</w:p>
    <w:p w14:paraId="51668B79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>9. Datum donošenja odluke o odabiru:</w:t>
      </w:r>
    </w:p>
    <w:p w14:paraId="6601794C" w14:textId="6934872F" w:rsidR="007154B0" w:rsidRPr="00164702" w:rsidRDefault="00164702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sz w:val="22"/>
        </w:rPr>
      </w:pPr>
      <w:r w:rsidRPr="00164702">
        <w:rPr>
          <w:rFonts w:asciiTheme="majorHAnsi" w:hAnsiTheme="majorHAnsi" w:cstheme="majorHAnsi"/>
          <w:sz w:val="22"/>
        </w:rPr>
        <w:t>1.12</w:t>
      </w:r>
      <w:r w:rsidR="007154B0" w:rsidRPr="00164702">
        <w:rPr>
          <w:rFonts w:asciiTheme="majorHAnsi" w:hAnsiTheme="majorHAnsi" w:cstheme="majorHAnsi"/>
          <w:sz w:val="22"/>
        </w:rPr>
        <w:t>.2023. godine.</w:t>
      </w:r>
      <w:r w:rsidR="007154B0" w:rsidRPr="00164702">
        <w:rPr>
          <w:rFonts w:asciiTheme="majorHAnsi" w:hAnsiTheme="majorHAnsi" w:cstheme="majorHAnsi"/>
          <w:b/>
          <w:bCs/>
          <w:sz w:val="22"/>
        </w:rPr>
        <w:tab/>
      </w:r>
      <w:r w:rsidR="007154B0" w:rsidRPr="00164702">
        <w:rPr>
          <w:rFonts w:asciiTheme="majorHAnsi" w:hAnsiTheme="majorHAnsi" w:cstheme="majorHAnsi"/>
          <w:b/>
          <w:bCs/>
          <w:sz w:val="22"/>
        </w:rPr>
        <w:tab/>
      </w:r>
      <w:r>
        <w:rPr>
          <w:rFonts w:asciiTheme="majorHAnsi" w:hAnsiTheme="majorHAnsi" w:cstheme="majorHAnsi"/>
          <w:b/>
          <w:bCs/>
          <w:sz w:val="22"/>
        </w:rPr>
        <w:tab/>
      </w:r>
      <w:r w:rsidR="007154B0" w:rsidRPr="00164702">
        <w:rPr>
          <w:rFonts w:asciiTheme="majorHAnsi" w:hAnsiTheme="majorHAnsi" w:cstheme="majorHAnsi"/>
          <w:b/>
          <w:bCs/>
          <w:sz w:val="22"/>
        </w:rPr>
        <w:tab/>
      </w:r>
      <w:r w:rsidR="007154B0" w:rsidRPr="00164702">
        <w:rPr>
          <w:rFonts w:asciiTheme="majorHAnsi" w:hAnsiTheme="majorHAnsi" w:cstheme="majorHAnsi"/>
          <w:b/>
          <w:bCs/>
          <w:sz w:val="22"/>
        </w:rPr>
        <w:tab/>
      </w:r>
      <w:r w:rsidR="007154B0" w:rsidRPr="00164702">
        <w:rPr>
          <w:rFonts w:asciiTheme="majorHAnsi" w:hAnsiTheme="majorHAnsi" w:cstheme="majorHAnsi"/>
          <w:b/>
          <w:bCs/>
          <w:sz w:val="22"/>
        </w:rPr>
        <w:tab/>
        <w:t>Stručno povjerenstvo</w:t>
      </w:r>
    </w:p>
    <w:p w14:paraId="6197385E" w14:textId="77777777" w:rsidR="007154B0" w:rsidRPr="00164702" w:rsidRDefault="007154B0" w:rsidP="00164702">
      <w:pPr>
        <w:spacing w:after="0" w:line="276" w:lineRule="auto"/>
        <w:ind w:left="0" w:right="0" w:firstLine="0"/>
        <w:rPr>
          <w:rFonts w:asciiTheme="majorHAnsi" w:hAnsiTheme="majorHAnsi" w:cstheme="majorHAnsi"/>
          <w:b/>
          <w:bCs/>
          <w:sz w:val="22"/>
        </w:rPr>
      </w:pP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</w:r>
      <w:r w:rsidRPr="00164702">
        <w:rPr>
          <w:rFonts w:asciiTheme="majorHAnsi" w:hAnsiTheme="majorHAnsi" w:cstheme="majorHAnsi"/>
          <w:b/>
          <w:bCs/>
          <w:sz w:val="22"/>
        </w:rPr>
        <w:tab/>
        <w:t>PULA HERCULANEA d.o.o.</w:t>
      </w:r>
    </w:p>
    <w:p w14:paraId="015A4D3D" w14:textId="77777777" w:rsidR="007154B0" w:rsidRPr="002C15F8" w:rsidRDefault="007154B0" w:rsidP="007154B0">
      <w:pPr>
        <w:rPr>
          <w:rFonts w:asciiTheme="majorHAnsi" w:hAnsiTheme="majorHAnsi" w:cstheme="majorHAnsi"/>
          <w:sz w:val="22"/>
        </w:rPr>
      </w:pPr>
    </w:p>
    <w:p w14:paraId="0051BD89" w14:textId="77777777" w:rsidR="007154B0" w:rsidRDefault="007154B0" w:rsidP="007154B0"/>
    <w:p w14:paraId="6A34C5EB" w14:textId="77777777" w:rsidR="004131A8" w:rsidRDefault="004131A8"/>
    <w:sectPr w:rsidR="004131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B0"/>
    <w:rsid w:val="000D1895"/>
    <w:rsid w:val="00164702"/>
    <w:rsid w:val="004131A8"/>
    <w:rsid w:val="00715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B2575"/>
  <w15:chartTrackingRefBased/>
  <w15:docId w15:val="{E3498AF0-BDEC-44E4-A3CB-3B9809B5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4B0"/>
    <w:pPr>
      <w:spacing w:after="5" w:line="250" w:lineRule="auto"/>
      <w:ind w:left="10" w:right="5" w:hanging="10"/>
      <w:jc w:val="both"/>
    </w:pPr>
    <w:rPr>
      <w:rFonts w:ascii="Calibri" w:eastAsia="Calibri" w:hAnsi="Calibri" w:cs="Calibri"/>
      <w:color w:val="000000"/>
      <w:kern w:val="0"/>
      <w:sz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7154B0"/>
    <w:pPr>
      <w:keepNext/>
      <w:spacing w:after="0" w:line="240" w:lineRule="auto"/>
      <w:ind w:left="0" w:right="0" w:firstLine="0"/>
      <w:jc w:val="left"/>
      <w:outlineLvl w:val="0"/>
    </w:pPr>
    <w:rPr>
      <w:rFonts w:ascii="Times New Roman" w:eastAsia="Times New Roman" w:hAnsi="Times New Roman" w:cs="Times New Roman"/>
      <w:b/>
      <w:color w:val="auto"/>
      <w:sz w:val="2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154B0"/>
    <w:rPr>
      <w:rFonts w:ascii="Times New Roman" w:eastAsia="Times New Roman" w:hAnsi="Times New Roman" w:cs="Times New Roman"/>
      <w:b/>
      <w:kern w:val="0"/>
      <w:sz w:val="20"/>
      <w:szCs w:val="20"/>
      <w14:ligatures w14:val="none"/>
    </w:rPr>
  </w:style>
  <w:style w:type="paragraph" w:styleId="Tijeloteksta">
    <w:name w:val="Body Text"/>
    <w:basedOn w:val="Normal"/>
    <w:link w:val="TijelotekstaChar"/>
    <w:rsid w:val="007154B0"/>
    <w:pPr>
      <w:suppressAutoHyphens/>
      <w:spacing w:after="0" w:line="240" w:lineRule="auto"/>
      <w:ind w:left="0" w:right="0" w:firstLine="0"/>
    </w:pPr>
    <w:rPr>
      <w:rFonts w:ascii="Garamond" w:eastAsia="Times New Roman" w:hAnsi="Garamond" w:cs="Times New Roman"/>
      <w:color w:val="auto"/>
      <w:szCs w:val="24"/>
      <w:lang w:eastAsia="ar-SA"/>
    </w:rPr>
  </w:style>
  <w:style w:type="character" w:customStyle="1" w:styleId="TijelotekstaChar">
    <w:name w:val="Tijelo teksta Char"/>
    <w:basedOn w:val="Zadanifontodlomka"/>
    <w:link w:val="Tijeloteksta"/>
    <w:rsid w:val="007154B0"/>
    <w:rPr>
      <w:rFonts w:ascii="Garamond" w:eastAsia="Times New Roman" w:hAnsi="Garamond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Šanin Gedri-Krelja</dc:creator>
  <cp:keywords/>
  <dc:description/>
  <cp:lastModifiedBy>Šanin Gedri-Krelja</cp:lastModifiedBy>
  <cp:revision>1</cp:revision>
  <dcterms:created xsi:type="dcterms:W3CDTF">2023-12-01T09:20:00Z</dcterms:created>
  <dcterms:modified xsi:type="dcterms:W3CDTF">2023-12-01T09:36:00Z</dcterms:modified>
</cp:coreProperties>
</file>